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val="0"/>
        <w:spacing w:line="360" w:lineRule="auto"/>
        <w:jc w:val="center"/>
        <w:textAlignment w:val="auto"/>
        <w:rPr>
          <w:rFonts w:hint="eastAsia"/>
          <w:b/>
          <w:bCs/>
          <w:lang w:val="en-US" w:eastAsia="zh-CN"/>
        </w:rPr>
      </w:pPr>
      <w:r>
        <w:rPr>
          <w:rFonts w:hint="eastAsia"/>
          <w:b/>
          <w:bCs/>
          <w:lang w:val="en-US" w:eastAsia="zh-CN"/>
        </w:rPr>
        <w:t>如何在指南制定过程中保证有效的患者及公众参与</w:t>
      </w:r>
    </w:p>
    <w:p>
      <w:pPr>
        <w:keepNext w:val="0"/>
        <w:keepLines w:val="0"/>
        <w:pageBreakBefore w:val="0"/>
        <w:numPr>
          <w:ilvl w:val="0"/>
          <w:numId w:val="0"/>
        </w:numPr>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24"/>
          <w:szCs w:val="24"/>
          <w:lang w:val="en-US" w:eastAsia="zh-CN"/>
        </w:rPr>
      </w:pPr>
      <w:r>
        <w:rPr>
          <w:rStyle w:val="22"/>
          <w:rFonts w:hint="eastAsia" w:eastAsia="宋体"/>
          <w:lang w:eastAsia="zh-CN"/>
        </w:rPr>
        <w:t>作者：</w:t>
      </w:r>
      <w:r>
        <w:rPr>
          <w:rStyle w:val="22"/>
        </w:rPr>
        <w:t>Sarah Scott, Jane Cowl, Corinna Schaefer, Karen Graham, Jessica</w:t>
      </w:r>
      <w:r>
        <w:rPr>
          <w:rStyle w:val="22"/>
        </w:rPr>
        <w:br w:type="textWrapping"/>
      </w:r>
      <w:r>
        <w:rPr>
          <w:rStyle w:val="22"/>
        </w:rPr>
        <w:t>Fielding, Lyndsay Howitt, Mark Rasburn and Verity Scott</w:t>
      </w:r>
      <w:r>
        <w:rPr>
          <w:rFonts w:ascii="宋体" w:hAnsi="宋体" w:eastAsia="宋体" w:cs="宋体"/>
          <w:sz w:val="24"/>
          <w:szCs w:val="24"/>
        </w:rPr>
        <w:t xml:space="preserve"> </w:t>
      </w:r>
      <w:bookmarkStart w:id="4" w:name="_GoBack"/>
      <w:bookmarkEnd w:id="4"/>
    </w:p>
    <w:p>
      <w:pPr>
        <w:keepNext w:val="0"/>
        <w:keepLines w:val="0"/>
        <w:pageBreakBefore w:val="0"/>
        <w:numPr>
          <w:ilvl w:val="0"/>
          <w:numId w:val="0"/>
        </w:numPr>
        <w:kinsoku/>
        <w:wordWrap/>
        <w:overflowPunct/>
        <w:topLinePunct w:val="0"/>
        <w:autoSpaceDE/>
        <w:autoSpaceDN/>
        <w:bidi w:val="0"/>
        <w:adjustRightInd/>
        <w:snapToGrid w:val="0"/>
        <w:spacing w:line="360" w:lineRule="auto"/>
        <w:jc w:val="center"/>
        <w:textAlignment w:val="auto"/>
        <w:rPr>
          <w:rFonts w:hint="eastAsia" w:ascii="宋体" w:hAnsi="宋体" w:eastAsia="宋体" w:cs="宋体"/>
          <w:sz w:val="24"/>
          <w:szCs w:val="24"/>
          <w:lang w:val="en-US" w:eastAsia="zh-CN"/>
        </w:rPr>
      </w:pP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cs="宋体"/>
          <w:sz w:val="21"/>
          <w:szCs w:val="21"/>
          <w:highlight w:val="none"/>
        </w:rPr>
      </w:pPr>
      <w:r>
        <w:rPr>
          <w:rFonts w:hint="eastAsia" w:ascii="宋体" w:hAnsi="宋体" w:cs="宋体"/>
          <w:sz w:val="21"/>
          <w:szCs w:val="21"/>
          <w:highlight w:val="none"/>
        </w:rPr>
        <w:t>临床实践指南是在基于系统评价的证据和平衡了不同干预措施的利弊，在此基础上形成的能够为患者提供最佳保健服务的推荐意见，其在指导临床</w:t>
      </w:r>
      <w:r>
        <w:rPr>
          <w:rFonts w:hint="eastAsia" w:ascii="宋体" w:hAnsi="宋体" w:cs="宋体"/>
          <w:sz w:val="21"/>
          <w:szCs w:val="21"/>
          <w:highlight w:val="none"/>
          <w:lang w:val="en-US" w:eastAsia="zh-CN"/>
        </w:rPr>
        <w:t>诊疗</w:t>
      </w:r>
      <w:r>
        <w:rPr>
          <w:rFonts w:hint="eastAsia" w:ascii="宋体" w:hAnsi="宋体" w:cs="宋体"/>
          <w:sz w:val="21"/>
          <w:szCs w:val="21"/>
          <w:highlight w:val="none"/>
        </w:rPr>
        <w:t>和改善临床结局中</w:t>
      </w:r>
      <w:r>
        <w:rPr>
          <w:rFonts w:hint="eastAsia" w:ascii="宋体" w:hAnsi="宋体" w:cs="宋体"/>
          <w:sz w:val="21"/>
          <w:szCs w:val="21"/>
          <w:highlight w:val="none"/>
          <w:lang w:val="en-US"/>
        </w:rPr>
        <w:t>至关重要</w:t>
      </w:r>
      <w:r>
        <w:rPr>
          <w:rFonts w:hint="eastAsia" w:ascii="宋体" w:hAnsi="宋体" w:cs="宋体"/>
          <w:sz w:val="21"/>
          <w:szCs w:val="21"/>
          <w:highlight w:val="none"/>
        </w:rPr>
        <w:t>。虽然系统地检索、评价证据</w:t>
      </w:r>
      <w:r>
        <w:rPr>
          <w:rFonts w:hint="eastAsia" w:ascii="宋体" w:hAnsi="宋体" w:cs="宋体"/>
          <w:sz w:val="21"/>
          <w:szCs w:val="21"/>
          <w:highlight w:val="none"/>
          <w:lang w:val="en-US" w:eastAsia="zh-CN"/>
        </w:rPr>
        <w:t>是</w:t>
      </w:r>
      <w:r>
        <w:rPr>
          <w:rFonts w:hint="eastAsia" w:ascii="宋体" w:hAnsi="宋体" w:cs="宋体"/>
          <w:sz w:val="21"/>
          <w:szCs w:val="21"/>
          <w:highlight w:val="none"/>
        </w:rPr>
        <w:t>保证高质量指南制定</w:t>
      </w:r>
      <w:r>
        <w:rPr>
          <w:rFonts w:hint="eastAsia" w:ascii="宋体" w:hAnsi="宋体" w:cs="宋体"/>
          <w:sz w:val="21"/>
          <w:szCs w:val="21"/>
          <w:highlight w:val="none"/>
          <w:lang w:val="en-US" w:eastAsia="zh-CN"/>
        </w:rPr>
        <w:t>的首要前提</w:t>
      </w:r>
      <w:r>
        <w:rPr>
          <w:rFonts w:hint="eastAsia" w:ascii="宋体" w:hAnsi="宋体" w:cs="宋体"/>
          <w:sz w:val="21"/>
          <w:szCs w:val="21"/>
          <w:highlight w:val="none"/>
        </w:rPr>
        <w:t>，但</w:t>
      </w:r>
      <w:r>
        <w:rPr>
          <w:rFonts w:hint="eastAsia" w:ascii="宋体" w:hAnsi="宋体" w:cs="宋体"/>
          <w:sz w:val="21"/>
          <w:szCs w:val="21"/>
          <w:highlight w:val="none"/>
          <w:lang w:val="en-US" w:eastAsia="zh-CN"/>
        </w:rPr>
        <w:t>是</w:t>
      </w:r>
      <w:r>
        <w:rPr>
          <w:rFonts w:hint="eastAsia" w:ascii="宋体" w:hAnsi="宋体" w:cs="宋体"/>
          <w:sz w:val="21"/>
          <w:szCs w:val="21"/>
          <w:highlight w:val="none"/>
        </w:rPr>
        <w:t>制定临床指南的初心是为了患者，证据</w:t>
      </w:r>
      <w:r>
        <w:rPr>
          <w:rFonts w:hint="eastAsia" w:ascii="宋体" w:hAnsi="宋体" w:cs="宋体"/>
          <w:sz w:val="21"/>
          <w:szCs w:val="21"/>
          <w:highlight w:val="none"/>
          <w:lang w:val="en-US" w:eastAsia="zh-CN"/>
        </w:rPr>
        <w:t>结果</w:t>
      </w:r>
      <w:r>
        <w:rPr>
          <w:rFonts w:hint="eastAsia" w:ascii="宋体" w:hAnsi="宋体" w:cs="宋体"/>
          <w:sz w:val="21"/>
          <w:szCs w:val="21"/>
          <w:highlight w:val="none"/>
        </w:rPr>
        <w:t>和专家经验始终无法替代患者的亲身体验和文化背景，那么患者的参与及患者意见</w:t>
      </w:r>
      <w:r>
        <w:rPr>
          <w:rFonts w:hint="eastAsia" w:ascii="宋体" w:hAnsi="宋体" w:cs="宋体"/>
          <w:sz w:val="21"/>
          <w:szCs w:val="21"/>
          <w:highlight w:val="none"/>
          <w:lang w:val="en-US" w:eastAsia="zh-CN"/>
        </w:rPr>
        <w:t>的</w:t>
      </w:r>
      <w:r>
        <w:rPr>
          <w:rFonts w:hint="eastAsia" w:ascii="宋体" w:hAnsi="宋体" w:cs="宋体"/>
          <w:sz w:val="21"/>
          <w:szCs w:val="21"/>
          <w:highlight w:val="none"/>
        </w:rPr>
        <w:t>听取就是十分必要。已有实例表明，指南构建中，通过患者及公众参与</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Patient and Public Involvement,PPI</w:t>
      </w:r>
      <w:r>
        <w:rPr>
          <w:rFonts w:hint="eastAsia" w:ascii="宋体" w:hAnsi="宋体" w:cs="宋体"/>
          <w:sz w:val="21"/>
          <w:szCs w:val="21"/>
          <w:highlight w:val="none"/>
          <w:lang w:eastAsia="zh-CN"/>
        </w:rPr>
        <w:t>）</w:t>
      </w:r>
      <w:r>
        <w:rPr>
          <w:rFonts w:hint="eastAsia" w:ascii="宋体" w:hAnsi="宋体" w:cs="宋体"/>
          <w:sz w:val="21"/>
          <w:szCs w:val="21"/>
          <w:highlight w:val="none"/>
        </w:rPr>
        <w:t>体现的偏好不仅直接影响推荐意见的强度，甚至会推翻某些基于高级别证据的推荐意见。为了保证临床实践指南能够真正地服务于患者，并且践行“以患者为中心”的循证医学理念，早在2011 年，美国医学研究所发布的白皮书中，就已经明确将充分考虑患者偏好作为衡量指南质量高低的标准之一</w:t>
      </w:r>
      <w:r>
        <w:rPr>
          <w:rFonts w:hint="eastAsia" w:ascii="宋体" w:hAnsi="宋体" w:cs="宋体"/>
          <w:sz w:val="21"/>
          <w:szCs w:val="21"/>
          <w:highlight w:val="none"/>
          <w:vertAlign w:val="baseline"/>
          <w:lang w:eastAsia="zh-CN"/>
        </w:rPr>
        <w:t>，在当前应用最广泛的指南评价工具</w:t>
      </w:r>
      <w:r>
        <w:rPr>
          <w:rFonts w:hint="eastAsia" w:ascii="宋体" w:hAnsi="宋体" w:cs="宋体"/>
          <w:sz w:val="21"/>
          <w:szCs w:val="21"/>
          <w:highlight w:val="none"/>
          <w:vertAlign w:val="baseline"/>
          <w:lang w:val="en-US" w:eastAsia="zh-CN"/>
        </w:rPr>
        <w:t>AGREE II 清单中，也将“考虑到目标人群（患者和公众等）的观点和选择”作为了其中的评价条目</w:t>
      </w:r>
      <w:r>
        <w:rPr>
          <w:rFonts w:hint="eastAsia" w:ascii="宋体" w:hAnsi="宋体" w:cs="宋体"/>
          <w:sz w:val="21"/>
          <w:szCs w:val="21"/>
          <w:highlight w:val="none"/>
        </w:rPr>
        <w:t>。随后，有越来越多的指南在其制定和实施过程中</w:t>
      </w:r>
      <w:r>
        <w:rPr>
          <w:rFonts w:hint="eastAsia" w:ascii="宋体" w:hAnsi="宋体" w:cs="宋体"/>
          <w:sz w:val="21"/>
          <w:szCs w:val="21"/>
          <w:highlight w:val="none"/>
          <w:lang w:eastAsia="zh-CN"/>
        </w:rPr>
        <w:t>纳入了患者及公众</w:t>
      </w:r>
      <w:r>
        <w:rPr>
          <w:rFonts w:hint="eastAsia" w:ascii="宋体" w:hAnsi="宋体" w:cs="宋体"/>
          <w:sz w:val="21"/>
          <w:szCs w:val="21"/>
          <w:highlight w:val="none"/>
        </w:rPr>
        <w:t>。但是，通过近期我们开展的一项针对指南制定者</w:t>
      </w:r>
      <w:r>
        <w:rPr>
          <w:rFonts w:hint="eastAsia" w:ascii="宋体" w:hAnsi="宋体" w:cs="宋体"/>
          <w:sz w:val="21"/>
          <w:szCs w:val="21"/>
          <w:highlight w:val="none"/>
          <w:lang w:eastAsia="zh-CN"/>
        </w:rPr>
        <w:t>的访谈</w:t>
      </w:r>
      <w:r>
        <w:rPr>
          <w:rFonts w:hint="eastAsia" w:ascii="宋体" w:hAnsi="宋体" w:cs="宋体"/>
          <w:sz w:val="21"/>
          <w:szCs w:val="21"/>
          <w:highlight w:val="none"/>
        </w:rPr>
        <w:t>中发现，患者参与的情况不容乐观，很多研究者表示很难招募到患者，或者即便招募到患者，他们并不能很有效的参与其中，比如当问及患者他们对脑卒中防治知识相关的需求时，很多患者表示“不清楚”或者表示“你们才是专业的，听你们的就行”。</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cs="宋体"/>
          <w:szCs w:val="21"/>
          <w:highlight w:val="none"/>
        </w:rPr>
      </w:pPr>
      <w:r>
        <w:rPr>
          <w:rFonts w:hint="eastAsia" w:ascii="宋体" w:hAnsi="宋体" w:cs="宋体"/>
          <w:sz w:val="21"/>
          <w:szCs w:val="21"/>
          <w:highlight w:val="none"/>
        </w:rPr>
        <w:t>前期研究指出影响患者和公众成员有效参与指南制定的障碍包括几个方面：</w:t>
      </w:r>
      <w:r>
        <w:rPr>
          <w:rFonts w:hint="eastAsia" w:ascii="宋体" w:hAnsi="宋体" w:cs="宋体"/>
          <w:sz w:val="21"/>
          <w:szCs w:val="21"/>
          <w:highlight w:val="none"/>
          <w:lang w:val="en-US" w:eastAsia="zh-CN"/>
        </w:rPr>
        <w:t>①</w:t>
      </w:r>
      <w:r>
        <w:rPr>
          <w:rFonts w:hint="eastAsia" w:ascii="宋体" w:hAnsi="宋体" w:cs="宋体"/>
          <w:szCs w:val="21"/>
          <w:highlight w:val="none"/>
        </w:rPr>
        <w:t>指南制定人员不清楚招募真正获得代表性的患者或公共成员的数量或类型</w:t>
      </w:r>
      <w:r>
        <w:rPr>
          <w:rFonts w:hint="eastAsia" w:ascii="宋体" w:hAnsi="宋体" w:cs="宋体"/>
          <w:szCs w:val="21"/>
          <w:highlight w:val="none"/>
          <w:lang w:eastAsia="zh-CN"/>
        </w:rPr>
        <w:t>，</w:t>
      </w:r>
      <w:r>
        <w:rPr>
          <w:rFonts w:hint="eastAsia" w:ascii="宋体" w:hAnsi="宋体" w:cs="宋体"/>
          <w:szCs w:val="21"/>
          <w:highlight w:val="none"/>
          <w:lang w:val="en-US" w:eastAsia="zh-CN"/>
        </w:rPr>
        <w:t>和</w:t>
      </w:r>
      <w:r>
        <w:rPr>
          <w:rFonts w:hint="eastAsia" w:ascii="宋体" w:hAnsi="宋体" w:cs="宋体"/>
          <w:szCs w:val="21"/>
          <w:highlight w:val="none"/>
        </w:rPr>
        <w:t>其在指南制定过程中应发挥的作用，这就使得指南开发者</w:t>
      </w:r>
      <w:r>
        <w:rPr>
          <w:rFonts w:hint="eastAsia" w:ascii="宋体" w:hAnsi="宋体" w:cs="宋体"/>
          <w:szCs w:val="21"/>
          <w:highlight w:val="none"/>
          <w:lang w:val="en-US" w:eastAsia="zh-CN"/>
        </w:rPr>
        <w:t>无法</w:t>
      </w:r>
      <w:r>
        <w:rPr>
          <w:rFonts w:hint="eastAsia" w:ascii="宋体" w:hAnsi="宋体" w:cs="宋体"/>
          <w:szCs w:val="21"/>
          <w:highlight w:val="none"/>
        </w:rPr>
        <w:t>招募到合适的成员，进而出现指南的范围与患者和公众成员相关性不足</w:t>
      </w:r>
      <w:r>
        <w:rPr>
          <w:rFonts w:hint="eastAsia" w:ascii="宋体" w:hAnsi="宋体" w:cs="宋体"/>
          <w:szCs w:val="21"/>
          <w:highlight w:val="none"/>
          <w:lang w:val="en-US" w:eastAsia="zh-CN"/>
        </w:rPr>
        <w:t>的情况</w:t>
      </w:r>
      <w:r>
        <w:rPr>
          <w:rFonts w:hint="eastAsia" w:ascii="宋体" w:hAnsi="宋体" w:cs="宋体"/>
          <w:szCs w:val="21"/>
          <w:highlight w:val="none"/>
        </w:rPr>
        <w:t>，而且患者及公众也因对自己的角色不清楚而很难做到有效的参与；</w:t>
      </w:r>
      <w:r>
        <w:rPr>
          <w:rFonts w:hint="eastAsia" w:ascii="宋体" w:hAnsi="宋体" w:cs="宋体"/>
          <w:szCs w:val="21"/>
          <w:highlight w:val="none"/>
          <w:lang w:val="en-US" w:eastAsia="zh-CN"/>
        </w:rPr>
        <w:t>②</w:t>
      </w:r>
      <w:r>
        <w:rPr>
          <w:rFonts w:hint="eastAsia" w:ascii="宋体" w:hAnsi="宋体" w:cs="宋体"/>
          <w:szCs w:val="21"/>
          <w:highlight w:val="none"/>
        </w:rPr>
        <w:t>缺乏实施招募</w:t>
      </w:r>
      <w:r>
        <w:rPr>
          <w:rFonts w:hint="eastAsia" w:ascii="宋体" w:hAnsi="宋体" w:cs="宋体"/>
          <w:szCs w:val="21"/>
          <w:highlight w:val="none"/>
          <w:lang w:eastAsia="zh-CN"/>
        </w:rPr>
        <w:t>的</w:t>
      </w:r>
      <w:r>
        <w:rPr>
          <w:rFonts w:hint="eastAsia" w:ascii="宋体" w:hAnsi="宋体" w:cs="宋体"/>
          <w:szCs w:val="21"/>
          <w:highlight w:val="none"/>
        </w:rPr>
        <w:t>策略</w:t>
      </w:r>
      <w:r>
        <w:rPr>
          <w:rFonts w:hint="eastAsia" w:ascii="宋体" w:hAnsi="宋体" w:cs="宋体"/>
          <w:szCs w:val="21"/>
          <w:highlight w:val="none"/>
          <w:lang w:eastAsia="zh-CN"/>
        </w:rPr>
        <w:t>相关</w:t>
      </w:r>
      <w:r>
        <w:rPr>
          <w:rFonts w:hint="eastAsia" w:ascii="宋体" w:hAnsi="宋体" w:cs="宋体"/>
          <w:szCs w:val="21"/>
          <w:highlight w:val="none"/>
        </w:rPr>
        <w:t>资源；</w:t>
      </w:r>
      <w:r>
        <w:rPr>
          <w:rFonts w:hint="eastAsia" w:ascii="宋体" w:hAnsi="宋体" w:cs="宋体"/>
          <w:szCs w:val="21"/>
          <w:highlight w:val="none"/>
          <w:lang w:val="en-US" w:eastAsia="zh-CN"/>
        </w:rPr>
        <w:t>③</w:t>
      </w:r>
      <w:r>
        <w:rPr>
          <w:rFonts w:hint="eastAsia" w:ascii="宋体" w:hAnsi="宋体" w:cs="宋体"/>
          <w:szCs w:val="21"/>
          <w:highlight w:val="none"/>
        </w:rPr>
        <w:t>患者或公共成员没有受到尊重，</w:t>
      </w:r>
      <w:r>
        <w:rPr>
          <w:rFonts w:hint="eastAsia" w:ascii="宋体" w:hAnsi="宋体" w:cs="宋体"/>
          <w:szCs w:val="21"/>
          <w:highlight w:val="none"/>
          <w:lang w:val="en-US" w:eastAsia="zh-CN"/>
        </w:rPr>
        <w:t>没有</w:t>
      </w:r>
      <w:r>
        <w:rPr>
          <w:rFonts w:hint="eastAsia" w:ascii="宋体" w:hAnsi="宋体" w:cs="宋体"/>
          <w:szCs w:val="21"/>
          <w:highlight w:val="none"/>
        </w:rPr>
        <w:t>被视为平等</w:t>
      </w:r>
      <w:r>
        <w:rPr>
          <w:rFonts w:hint="eastAsia" w:ascii="宋体" w:hAnsi="宋体" w:cs="宋体"/>
          <w:szCs w:val="21"/>
          <w:highlight w:val="none"/>
          <w:lang w:val="en-US" w:eastAsia="zh-CN"/>
        </w:rPr>
        <w:t>对待</w:t>
      </w:r>
      <w:r>
        <w:rPr>
          <w:rFonts w:hint="eastAsia" w:ascii="宋体" w:hAnsi="宋体" w:cs="宋体"/>
          <w:szCs w:val="21"/>
          <w:highlight w:val="none"/>
        </w:rPr>
        <w:t>或感到贬值，使得他们感到孤立或在一大群专家</w:t>
      </w:r>
      <w:r>
        <w:rPr>
          <w:rFonts w:hint="eastAsia" w:ascii="宋体" w:hAnsi="宋体" w:cs="宋体"/>
          <w:szCs w:val="21"/>
          <w:highlight w:val="none"/>
          <w:lang w:val="en-US" w:eastAsia="zh-CN"/>
        </w:rPr>
        <w:t>面前</w:t>
      </w:r>
      <w:r>
        <w:rPr>
          <w:rFonts w:hint="eastAsia" w:ascii="宋体" w:hAnsi="宋体" w:cs="宋体"/>
          <w:szCs w:val="21"/>
          <w:highlight w:val="none"/>
        </w:rPr>
        <w:t>缺乏表达自己想法的信心；</w:t>
      </w:r>
      <w:r>
        <w:rPr>
          <w:rFonts w:hint="eastAsia" w:ascii="宋体" w:hAnsi="宋体" w:cs="宋体"/>
          <w:szCs w:val="21"/>
          <w:highlight w:val="none"/>
          <w:lang w:val="en-US" w:eastAsia="zh-CN"/>
        </w:rPr>
        <w:t>④患者及公众</w:t>
      </w:r>
      <w:r>
        <w:rPr>
          <w:rFonts w:hint="eastAsia" w:ascii="宋体" w:hAnsi="宋体" w:cs="宋体"/>
          <w:szCs w:val="21"/>
          <w:highlight w:val="none"/>
        </w:rPr>
        <w:t>缺乏与指南制定相关的方法学专业知识、技能或疾病领域的知识。</w:t>
      </w:r>
    </w:p>
    <w:p>
      <w:pPr>
        <w:keepNext w:val="0"/>
        <w:keepLines w:val="0"/>
        <w:pageBreakBefore w:val="0"/>
        <w:numPr>
          <w:ilvl w:val="0"/>
          <w:numId w:val="0"/>
        </w:numPr>
        <w:kinsoku/>
        <w:wordWrap/>
        <w:overflowPunct/>
        <w:topLinePunct w:val="0"/>
        <w:autoSpaceDE/>
        <w:autoSpaceDN/>
        <w:bidi w:val="0"/>
        <w:adjustRightInd/>
        <w:snapToGrid w:val="0"/>
        <w:spacing w:line="360" w:lineRule="auto"/>
        <w:jc w:val="both"/>
        <w:textAlignment w:val="auto"/>
        <w:rPr>
          <w:rFonts w:hint="eastAsia" w:ascii="宋体" w:hAnsi="宋体" w:cs="宋体" w:eastAsiaTheme="minorEastAsia"/>
          <w:sz w:val="21"/>
          <w:szCs w:val="21"/>
          <w:highlight w:val="none"/>
          <w:lang w:val="en-US" w:eastAsia="zh-CN"/>
        </w:rPr>
      </w:pPr>
      <w:r>
        <w:rPr>
          <w:rFonts w:hint="eastAsia" w:ascii="宋体" w:hAnsi="宋体" w:cs="宋体"/>
          <w:sz w:val="21"/>
          <w:szCs w:val="21"/>
          <w:highlight w:val="none"/>
          <w:lang w:val="en-US" w:eastAsia="zh-CN"/>
        </w:rPr>
        <w:t xml:space="preserve">    </w:t>
      </w:r>
      <w:r>
        <w:rPr>
          <w:rFonts w:hint="eastAsia" w:ascii="宋体" w:hAnsi="宋体" w:cs="宋体"/>
          <w:sz w:val="21"/>
          <w:szCs w:val="21"/>
          <w:highlight w:val="none"/>
        </w:rPr>
        <w:t>为此，G-I-N PUBLIC工作组于2012年针对影响患者及公众参与的阻碍因素</w:t>
      </w:r>
      <w:r>
        <w:rPr>
          <w:rFonts w:hint="eastAsia" w:ascii="宋体" w:hAnsi="宋体" w:cs="宋体"/>
          <w:sz w:val="21"/>
          <w:szCs w:val="21"/>
          <w:highlight w:val="none"/>
          <w:vertAlign w:val="superscript"/>
        </w:rPr>
        <w:t>[</w:t>
      </w:r>
      <w:r>
        <w:rPr>
          <w:rFonts w:hint="eastAsia" w:ascii="宋体" w:hAnsi="宋体" w:cs="宋体"/>
          <w:sz w:val="21"/>
          <w:szCs w:val="21"/>
          <w:highlight w:val="none"/>
          <w:vertAlign w:val="superscript"/>
        </w:rPr>
        <w:fldChar w:fldCharType="begin"/>
      </w:r>
      <w:r>
        <w:rPr>
          <w:rFonts w:hint="eastAsia" w:ascii="宋体" w:hAnsi="宋体" w:cs="宋体"/>
          <w:sz w:val="21"/>
          <w:szCs w:val="21"/>
          <w:highlight w:val="none"/>
          <w:vertAlign w:val="superscript"/>
        </w:rPr>
        <w:instrText xml:space="preserve"> NOTEREF _Ref30045 \h </w:instrText>
      </w:r>
      <w:r>
        <w:rPr>
          <w:rFonts w:hint="eastAsia" w:ascii="宋体" w:hAnsi="宋体" w:cs="宋体"/>
          <w:sz w:val="21"/>
          <w:szCs w:val="21"/>
          <w:highlight w:val="none"/>
          <w:vertAlign w:val="superscript"/>
        </w:rPr>
        <w:fldChar w:fldCharType="separate"/>
      </w:r>
      <w:r>
        <w:rPr>
          <w:rFonts w:hint="eastAsia" w:ascii="宋体" w:hAnsi="宋体" w:cs="宋体"/>
          <w:sz w:val="21"/>
          <w:szCs w:val="21"/>
          <w:highlight w:val="none"/>
          <w:vertAlign w:val="superscript"/>
        </w:rPr>
        <w:t>2</w:t>
      </w:r>
      <w:r>
        <w:rPr>
          <w:rFonts w:hint="eastAsia" w:ascii="宋体" w:hAnsi="宋体" w:cs="宋体"/>
          <w:sz w:val="21"/>
          <w:szCs w:val="21"/>
          <w:highlight w:val="none"/>
          <w:vertAlign w:val="superscript"/>
        </w:rPr>
        <w:fldChar w:fldCharType="end"/>
      </w:r>
      <w:r>
        <w:rPr>
          <w:rFonts w:hint="eastAsia" w:ascii="宋体" w:hAnsi="宋体" w:cs="宋体"/>
          <w:sz w:val="21"/>
          <w:szCs w:val="21"/>
          <w:highlight w:val="none"/>
          <w:vertAlign w:val="superscript"/>
        </w:rPr>
        <w:t>]</w:t>
      </w:r>
      <w:r>
        <w:rPr>
          <w:rFonts w:hint="eastAsia" w:ascii="宋体" w:hAnsi="宋体" w:cs="宋体"/>
          <w:sz w:val="21"/>
          <w:szCs w:val="21"/>
          <w:highlight w:val="none"/>
        </w:rPr>
        <w:t>，从患者与公众成员的</w:t>
      </w:r>
      <w:r>
        <w:rPr>
          <w:rFonts w:hint="eastAsia" w:ascii="宋体" w:hAnsi="宋体" w:cs="宋体"/>
          <w:sz w:val="21"/>
          <w:szCs w:val="21"/>
          <w:highlight w:val="none"/>
          <w:lang w:eastAsia="zh-CN"/>
        </w:rPr>
        <w:t>角色</w:t>
      </w:r>
      <w:r>
        <w:rPr>
          <w:rFonts w:hint="eastAsia" w:ascii="宋体" w:hAnsi="宋体" w:cs="宋体"/>
          <w:sz w:val="21"/>
          <w:szCs w:val="21"/>
          <w:highlight w:val="none"/>
        </w:rPr>
        <w:t>定位和重要性、招募患者和公众成员</w:t>
      </w:r>
      <w:r>
        <w:rPr>
          <w:rFonts w:hint="eastAsia" w:ascii="宋体" w:hAnsi="宋体" w:cs="宋体"/>
          <w:sz w:val="21"/>
          <w:szCs w:val="21"/>
          <w:highlight w:val="none"/>
          <w:lang w:eastAsia="zh-CN"/>
        </w:rPr>
        <w:t>的策略</w:t>
      </w:r>
      <w:r>
        <w:rPr>
          <w:rFonts w:hint="eastAsia" w:ascii="宋体" w:hAnsi="宋体" w:cs="宋体"/>
          <w:sz w:val="21"/>
          <w:szCs w:val="21"/>
          <w:highlight w:val="none"/>
        </w:rPr>
        <w:t>、为患者及公众提供支持、招募特殊人群四个方面提供了促进患者及公众有效参与的策略。该部分内容于2021年进行了更新</w:t>
      </w:r>
      <w:r>
        <w:rPr>
          <w:rFonts w:hint="eastAsia" w:ascii="宋体" w:hAnsi="宋体" w:cs="宋体"/>
          <w:sz w:val="21"/>
          <w:szCs w:val="21"/>
          <w:highlight w:val="none"/>
          <w:lang w:eastAsia="zh-CN"/>
        </w:rPr>
        <w:t>。</w:t>
      </w:r>
    </w:p>
    <w:p>
      <w:pPr>
        <w:pStyle w:val="2"/>
        <w:rPr>
          <w:sz w:val="21"/>
          <w:szCs w:val="21"/>
        </w:rPr>
      </w:pPr>
      <w:r>
        <w:rPr>
          <w:rFonts w:hint="default" w:ascii="宋体" w:hAnsi="宋体" w:eastAsia="宋体" w:cs="宋体"/>
          <w:sz w:val="21"/>
          <w:szCs w:val="21"/>
        </w:rPr>
        <w:t>关键信息</w:t>
      </w:r>
    </w:p>
    <w:p>
      <w:pPr>
        <w:pStyle w:val="23"/>
        <w:rPr>
          <w:sz w:val="21"/>
          <w:szCs w:val="21"/>
        </w:rPr>
      </w:pPr>
      <w:r>
        <w:rPr>
          <w:rFonts w:hint="default" w:ascii="宋体" w:hAnsi="宋体" w:eastAsia="宋体" w:cs="宋体"/>
          <w:sz w:val="21"/>
          <w:szCs w:val="21"/>
        </w:rPr>
        <w:t>指南开发人员可以在招募和吸引病人和公众成员参与指南开发工作时遇到一些障碍。这些包括缺乏明确的成本效益招聘战略，实现真正代表的能力，以及缺乏适当工作技能的成员（例如，良好的沟通或研究知识）。</w:t>
      </w:r>
    </w:p>
    <w:p>
      <w:pPr>
        <w:pStyle w:val="23"/>
        <w:rPr>
          <w:sz w:val="21"/>
          <w:szCs w:val="21"/>
        </w:rPr>
      </w:pPr>
      <w:r>
        <w:rPr>
          <w:rFonts w:hint="default" w:ascii="宋体" w:hAnsi="宋体" w:eastAsia="宋体" w:cs="宋体"/>
          <w:sz w:val="21"/>
          <w:szCs w:val="21"/>
        </w:rPr>
        <w:t>患者和公众成员的角色将影响在指导小组中执行所需的任务、经验和质量。这可能会影响病人和公共成员的数量和类型，如患者、护理者和来自病人组织的倡导者。概述角色和人员规范的信息应该从一开始就仔细计划，并公开宣传，以减少招聘和参与的障碍。</w:t>
      </w:r>
    </w:p>
    <w:p>
      <w:pPr>
        <w:pStyle w:val="23"/>
        <w:rPr>
          <w:sz w:val="21"/>
          <w:szCs w:val="21"/>
        </w:rPr>
      </w:pPr>
      <w:r>
        <w:rPr>
          <w:rFonts w:hint="default" w:ascii="宋体" w:hAnsi="宋体" w:eastAsia="宋体" w:cs="宋体"/>
          <w:sz w:val="21"/>
          <w:szCs w:val="21"/>
        </w:rPr>
        <w:t>招聘方法有两种：公开招聘和通过病人组织进行提名。但是每种方法都有需要考虑的优点和缺点，这些方法都需要考虑到开发者的资源和患者组织的可用性。无论选择何种方法，实现的方式必须记录和透明。</w:t>
      </w:r>
    </w:p>
    <w:p>
      <w:pPr>
        <w:pStyle w:val="23"/>
        <w:rPr>
          <w:sz w:val="21"/>
          <w:szCs w:val="21"/>
        </w:rPr>
      </w:pPr>
      <w:r>
        <w:rPr>
          <w:rFonts w:hint="default" w:ascii="宋体" w:hAnsi="宋体" w:eastAsia="宋体" w:cs="宋体"/>
          <w:sz w:val="21"/>
          <w:szCs w:val="21"/>
        </w:rPr>
        <w:t>指南制定过程中患者和公众参与的障碍：</w:t>
      </w:r>
    </w:p>
    <w:p>
      <w:pPr>
        <w:pStyle w:val="24"/>
        <w:rPr>
          <w:sz w:val="21"/>
          <w:szCs w:val="21"/>
        </w:rPr>
      </w:pPr>
      <w:r>
        <w:rPr>
          <w:rFonts w:hint="default" w:ascii="宋体" w:hAnsi="宋体" w:eastAsia="宋体" w:cs="宋体"/>
          <w:sz w:val="21"/>
          <w:szCs w:val="21"/>
        </w:rPr>
        <w:t>提供实际的支持（例如，提供易于阅读的文档版本）</w:t>
      </w:r>
    </w:p>
    <w:p>
      <w:pPr>
        <w:pStyle w:val="24"/>
        <w:rPr>
          <w:sz w:val="21"/>
          <w:szCs w:val="21"/>
        </w:rPr>
      </w:pPr>
      <w:r>
        <w:rPr>
          <w:rFonts w:hint="default" w:ascii="宋体" w:hAnsi="宋体" w:eastAsia="宋体" w:cs="宋体"/>
          <w:sz w:val="21"/>
          <w:szCs w:val="21"/>
        </w:rPr>
        <w:t>非正式的支持（如提供建议和支持）</w:t>
      </w:r>
    </w:p>
    <w:p>
      <w:pPr>
        <w:pStyle w:val="24"/>
        <w:rPr>
          <w:sz w:val="21"/>
          <w:szCs w:val="21"/>
        </w:rPr>
      </w:pPr>
      <w:r>
        <w:rPr>
          <w:rFonts w:hint="default" w:ascii="宋体" w:hAnsi="宋体" w:eastAsia="宋体" w:cs="宋体"/>
          <w:sz w:val="21"/>
          <w:szCs w:val="21"/>
        </w:rPr>
        <w:t>时间和差旅费的经济补偿</w:t>
      </w:r>
    </w:p>
    <w:p>
      <w:pPr>
        <w:pStyle w:val="24"/>
        <w:rPr>
          <w:sz w:val="21"/>
          <w:szCs w:val="21"/>
        </w:rPr>
      </w:pPr>
      <w:r>
        <w:rPr>
          <w:rFonts w:hint="default" w:ascii="宋体" w:hAnsi="宋体" w:eastAsia="宋体" w:cs="宋体"/>
          <w:sz w:val="21"/>
          <w:szCs w:val="21"/>
        </w:rPr>
        <w:t>共同学习（在以演示文稿或研讨会的形式制定指导方针期间）</w:t>
      </w:r>
    </w:p>
    <w:p>
      <w:pPr>
        <w:pStyle w:val="24"/>
        <w:rPr>
          <w:sz w:val="21"/>
          <w:szCs w:val="21"/>
        </w:rPr>
      </w:pPr>
      <w:r>
        <w:rPr>
          <w:rFonts w:hint="default" w:ascii="宋体" w:hAnsi="宋体" w:eastAsia="宋体" w:cs="宋体"/>
          <w:sz w:val="21"/>
          <w:szCs w:val="21"/>
        </w:rPr>
        <w:t>培训、绩效反馈和管理团队动态。</w:t>
      </w:r>
    </w:p>
    <w:p>
      <w:pPr>
        <w:pStyle w:val="23"/>
        <w:rPr>
          <w:sz w:val="21"/>
          <w:szCs w:val="21"/>
        </w:rPr>
      </w:pPr>
      <w:r>
        <w:rPr>
          <w:rFonts w:hint="default" w:ascii="宋体" w:hAnsi="宋体" w:eastAsia="宋体" w:cs="宋体"/>
          <w:sz w:val="21"/>
          <w:szCs w:val="21"/>
        </w:rPr>
        <w:t>有些情况下，患者和公众成员不能被纳入指导方针群体（例如，儿童），或者很难招募很少听到的群体（例如，在安全环境下的人）。需要考虑的替代方法是参考组、关于患者和公众观点的额外数据来源、患者专家的证词以及使用研究方法的咨询。</w:t>
      </w:r>
    </w:p>
    <w:p>
      <w:pPr>
        <w:pStyle w:val="25"/>
        <w:rPr>
          <w:sz w:val="21"/>
          <w:szCs w:val="21"/>
        </w:rPr>
      </w:pPr>
      <w:r>
        <w:rPr>
          <w:rFonts w:hint="default" w:ascii="宋体" w:hAnsi="宋体" w:eastAsia="宋体" w:cs="宋体"/>
          <w:sz w:val="21"/>
          <w:szCs w:val="21"/>
        </w:rPr>
        <w:t>当参与很少听到的群体，如儿童、学习障碍患者和严重的精神病患者时，将需要考虑非常具体的参与障碍。这些障碍包括立法、认知能力和疾病的波动。实际和非正式的支助战略需要非常仔细地考虑、调整和调整。</w:t>
      </w:r>
    </w:p>
    <w:p>
      <w:pPr>
        <w:pStyle w:val="2"/>
        <w:rPr>
          <w:sz w:val="21"/>
          <w:szCs w:val="21"/>
        </w:rPr>
      </w:pPr>
      <w:r>
        <w:rPr>
          <w:rFonts w:hint="default" w:ascii="宋体" w:hAnsi="宋体" w:eastAsia="宋体" w:cs="宋体"/>
          <w:sz w:val="21"/>
          <w:szCs w:val="21"/>
        </w:rPr>
        <w:t>重要提示</w:t>
      </w:r>
    </w:p>
    <w:p>
      <w:pPr>
        <w:pStyle w:val="23"/>
        <w:rPr>
          <w:sz w:val="21"/>
          <w:szCs w:val="21"/>
        </w:rPr>
      </w:pPr>
      <w:r>
        <w:rPr>
          <w:rFonts w:hint="default" w:ascii="宋体" w:hAnsi="宋体" w:eastAsia="宋体" w:cs="宋体"/>
          <w:sz w:val="21"/>
          <w:szCs w:val="21"/>
        </w:rPr>
        <w:t>在指南的计划阶段，计划、制定和宣传角色描述和人员规范。它应预先概述角色、任务、经验和质量，以及患者和公众成员的类型和数量，以获得该指导方针所需的广泛代表。</w:t>
      </w:r>
    </w:p>
    <w:p>
      <w:pPr>
        <w:pStyle w:val="23"/>
        <w:rPr>
          <w:sz w:val="21"/>
          <w:szCs w:val="21"/>
        </w:rPr>
      </w:pPr>
      <w:r>
        <w:rPr>
          <w:rFonts w:hint="default" w:ascii="宋体" w:hAnsi="宋体" w:eastAsia="宋体" w:cs="宋体"/>
          <w:sz w:val="21"/>
          <w:szCs w:val="21"/>
        </w:rPr>
        <w:t>从一开始和整个发展过程中就让患者和公众成员参与进来，以确保该范围适用于将使用该指导方针的人，并鼓励持续参与的人。</w:t>
      </w:r>
    </w:p>
    <w:p>
      <w:pPr>
        <w:pStyle w:val="23"/>
        <w:rPr>
          <w:sz w:val="21"/>
          <w:szCs w:val="21"/>
        </w:rPr>
      </w:pPr>
      <w:r>
        <w:rPr>
          <w:rFonts w:hint="default" w:ascii="宋体" w:hAnsi="宋体" w:eastAsia="宋体" w:cs="宋体"/>
          <w:sz w:val="21"/>
          <w:szCs w:val="21"/>
        </w:rPr>
        <w:t>从病人组织中招募至少2名病人或公众成员，他们可能是病人、父母、护理人员或倡导者，具有一系列的观点、经验和特征，以获得广泛的代表性。</w:t>
      </w:r>
    </w:p>
    <w:p>
      <w:pPr>
        <w:pStyle w:val="23"/>
        <w:rPr>
          <w:sz w:val="21"/>
          <w:szCs w:val="21"/>
        </w:rPr>
      </w:pPr>
      <w:r>
        <w:rPr>
          <w:rFonts w:hint="default" w:ascii="宋体" w:hAnsi="宋体" w:eastAsia="宋体" w:cs="宋体"/>
          <w:sz w:val="21"/>
          <w:szCs w:val="21"/>
        </w:rPr>
        <w:t>根据他们的经验和对有问题的问题的理解招募他们。</w:t>
      </w:r>
    </w:p>
    <w:p>
      <w:pPr>
        <w:pStyle w:val="23"/>
        <w:rPr>
          <w:sz w:val="21"/>
          <w:szCs w:val="21"/>
        </w:rPr>
      </w:pPr>
      <w:r>
        <w:rPr>
          <w:rFonts w:hint="default" w:ascii="宋体" w:hAnsi="宋体" w:eastAsia="宋体" w:cs="宋体"/>
          <w:sz w:val="21"/>
          <w:szCs w:val="21"/>
        </w:rPr>
        <w:t>如果你的组织有时间和资源来制作招聘文件和进行面试，那就考虑一下开放的招聘方法，以接触到大量的人。</w:t>
      </w:r>
    </w:p>
    <w:p>
      <w:pPr>
        <w:pStyle w:val="23"/>
        <w:rPr>
          <w:sz w:val="21"/>
          <w:szCs w:val="21"/>
        </w:rPr>
      </w:pPr>
      <w:r>
        <w:rPr>
          <w:rFonts w:hint="default" w:ascii="宋体" w:hAnsi="宋体" w:eastAsia="宋体" w:cs="宋体"/>
          <w:sz w:val="21"/>
          <w:szCs w:val="21"/>
        </w:rPr>
        <w:t>如果你有更少的资源来进行公开招聘，并有机会访问相关的病人组织，请考虑提名过程。</w:t>
      </w:r>
    </w:p>
    <w:p>
      <w:pPr>
        <w:pStyle w:val="23"/>
        <w:rPr>
          <w:sz w:val="21"/>
          <w:szCs w:val="21"/>
        </w:rPr>
      </w:pPr>
      <w:r>
        <w:rPr>
          <w:rFonts w:hint="default" w:ascii="宋体" w:hAnsi="宋体" w:eastAsia="宋体" w:cs="宋体"/>
          <w:sz w:val="21"/>
          <w:szCs w:val="21"/>
        </w:rPr>
        <w:t>当公开招聘时，通过网站、病人组织、卫生专业人员和社交媒体来宣传机会，这可以帮助从很少听到的群体中招聘。</w:t>
      </w:r>
    </w:p>
    <w:p>
      <w:pPr>
        <w:pStyle w:val="23"/>
        <w:rPr>
          <w:sz w:val="21"/>
          <w:szCs w:val="21"/>
        </w:rPr>
      </w:pPr>
      <w:r>
        <w:rPr>
          <w:rFonts w:hint="default" w:ascii="宋体" w:hAnsi="宋体" w:eastAsia="宋体" w:cs="宋体"/>
          <w:sz w:val="21"/>
          <w:szCs w:val="21"/>
        </w:rPr>
        <w:t>评估实际和非正式的支持需要，从一开始评估培训需要，包括培训需要。为每个成员提供量身定制的支持和培训。</w:t>
      </w:r>
    </w:p>
    <w:p>
      <w:pPr>
        <w:pStyle w:val="23"/>
        <w:rPr>
          <w:sz w:val="21"/>
          <w:szCs w:val="21"/>
        </w:rPr>
      </w:pPr>
      <w:r>
        <w:rPr>
          <w:rFonts w:hint="default" w:ascii="宋体" w:hAnsi="宋体" w:eastAsia="宋体" w:cs="宋体"/>
          <w:sz w:val="21"/>
          <w:szCs w:val="21"/>
        </w:rPr>
        <w:t>提供初步的培训和实施共同学习，让整个指导小组通过演示、研讨会和讨论来学习和分享有关指导方针开发和研究的知识。</w:t>
      </w:r>
    </w:p>
    <w:p>
      <w:pPr>
        <w:pStyle w:val="23"/>
        <w:rPr>
          <w:sz w:val="21"/>
          <w:szCs w:val="21"/>
        </w:rPr>
      </w:pPr>
      <w:r>
        <w:rPr>
          <w:rFonts w:hint="default" w:ascii="宋体" w:hAnsi="宋体" w:eastAsia="宋体" w:cs="宋体"/>
          <w:sz w:val="21"/>
          <w:szCs w:val="21"/>
        </w:rPr>
        <w:t>为新成员创造并提供机会，以会见经验丰富的病人和公众成员的“伙伴”，让他们讨论自己的角色和任何问题。</w:t>
      </w:r>
    </w:p>
    <w:p>
      <w:pPr>
        <w:pStyle w:val="23"/>
        <w:rPr>
          <w:sz w:val="21"/>
          <w:szCs w:val="21"/>
        </w:rPr>
      </w:pPr>
      <w:r>
        <w:rPr>
          <w:rFonts w:hint="default" w:ascii="宋体" w:hAnsi="宋体" w:eastAsia="宋体" w:cs="宋体"/>
          <w:sz w:val="21"/>
          <w:szCs w:val="21"/>
        </w:rPr>
        <w:t>定期评估患者或公众成员的表现，并提供反馈，以确保持续学习，并解决出现的任何问题，如感觉无法做出贡献。</w:t>
      </w:r>
    </w:p>
    <w:p>
      <w:pPr>
        <w:pStyle w:val="23"/>
        <w:rPr>
          <w:sz w:val="21"/>
          <w:szCs w:val="21"/>
        </w:rPr>
      </w:pPr>
      <w:r>
        <w:rPr>
          <w:rFonts w:hint="default" w:ascii="宋体" w:hAnsi="宋体" w:eastAsia="宋体" w:cs="宋体"/>
          <w:sz w:val="21"/>
          <w:szCs w:val="21"/>
        </w:rPr>
        <w:t>通过培训主席培训管理小组动态，以确保病人和公众成员得到平等对待，能够做出贡献和感到价值。</w:t>
      </w:r>
    </w:p>
    <w:p>
      <w:pPr>
        <w:pStyle w:val="25"/>
        <w:rPr>
          <w:sz w:val="21"/>
          <w:szCs w:val="21"/>
        </w:rPr>
      </w:pPr>
      <w:r>
        <w:rPr>
          <w:rFonts w:hint="default" w:ascii="宋体" w:hAnsi="宋体" w:eastAsia="宋体" w:cs="宋体"/>
          <w:sz w:val="21"/>
          <w:szCs w:val="21"/>
        </w:rPr>
        <w:t>当参与很少听到的群体，如儿童、学习障碍者和严重精神疾病患者时，要仔细计划和定制具体的实际和非正式的支持策略。考虑到立法、认知能力和疾病的波动。</w:t>
      </w:r>
    </w:p>
    <w:p/>
    <w:p>
      <w:pPr>
        <w:keepNext w:val="0"/>
        <w:keepLines w:val="0"/>
        <w:pageBreakBefore w:val="0"/>
        <w:numPr>
          <w:ilvl w:val="0"/>
          <w:numId w:val="0"/>
        </w:numPr>
        <w:kinsoku/>
        <w:wordWrap/>
        <w:overflowPunct/>
        <w:topLinePunct w:val="0"/>
        <w:autoSpaceDE/>
        <w:autoSpaceDN/>
        <w:bidi w:val="0"/>
        <w:adjustRightInd/>
        <w:snapToGrid w:val="0"/>
        <w:spacing w:line="360" w:lineRule="auto"/>
        <w:jc w:val="both"/>
        <w:textAlignment w:val="auto"/>
        <w:rPr>
          <w:rFonts w:hint="eastAsia" w:ascii="宋体" w:hAnsi="宋体" w:cs="宋体"/>
          <w:sz w:val="21"/>
          <w:szCs w:val="21"/>
          <w:highlight w:val="none"/>
          <w:lang w:val="en-US" w:eastAsia="zh-CN"/>
        </w:rPr>
      </w:pPr>
    </w:p>
    <w:p>
      <w:pPr>
        <w:keepNext w:val="0"/>
        <w:keepLines w:val="0"/>
        <w:pageBreakBefore w:val="0"/>
        <w:numPr>
          <w:ilvl w:val="0"/>
          <w:numId w:val="6"/>
        </w:numPr>
        <w:kinsoku/>
        <w:wordWrap/>
        <w:overflowPunct/>
        <w:topLinePunct w:val="0"/>
        <w:autoSpaceDE/>
        <w:autoSpaceDN/>
        <w:bidi w:val="0"/>
        <w:adjustRightInd/>
        <w:snapToGrid w:val="0"/>
        <w:spacing w:line="360" w:lineRule="auto"/>
        <w:textAlignment w:val="auto"/>
        <w:rPr>
          <w:rFonts w:hint="eastAsia"/>
          <w:b/>
          <w:bCs/>
          <w:lang w:val="en-US" w:eastAsia="zh-CN"/>
        </w:rPr>
      </w:pPr>
      <w:r>
        <w:rPr>
          <w:rFonts w:hint="eastAsia"/>
          <w:b/>
          <w:bCs/>
          <w:lang w:val="en-US" w:eastAsia="zh-CN"/>
        </w:rPr>
        <w:t>患者与公众成员的定位和重要性</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lang w:val="en-US" w:eastAsia="zh-CN"/>
        </w:rPr>
      </w:pPr>
      <w:r>
        <w:rPr>
          <w:rFonts w:hint="eastAsia"/>
          <w:lang w:val="en-US" w:eastAsia="zh-CN"/>
        </w:rPr>
        <w:t>研究发现，当角色和所需的技能、经验知识没有得到明确概述时，就会妨碍患者和公众参与指南制定(Armstrong et al. 2017b, Carroll et al. 2017)。在新指南的规划阶段，制定者们需要清楚地了解对患者和公众的角色要求和期望，这样才能提前规划出所需投入的支持、培训和必要的额外资源，并确保招募到合适的成员。这些信息还将帮助患者和公众成员了解参与指南制定对他们的要求，包括时间的投入，这样他们就能够提前安排手头工作，更好地参到制定当中。本节将探讨指南制定者们在规划阶段应考虑的因素，包括：</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lang w:val="en-US" w:eastAsia="zh-CN"/>
        </w:rPr>
      </w:pPr>
    </w:p>
    <w:p>
      <w:pPr>
        <w:keepNext w:val="0"/>
        <w:keepLines w:val="0"/>
        <w:pageBreakBefore w:val="0"/>
        <w:kinsoku/>
        <w:wordWrap/>
        <w:overflowPunct/>
        <w:topLinePunct w:val="0"/>
        <w:autoSpaceDE/>
        <w:autoSpaceDN/>
        <w:bidi w:val="0"/>
        <w:adjustRightInd/>
        <w:snapToGrid w:val="0"/>
        <w:spacing w:line="360" w:lineRule="auto"/>
        <w:textAlignment w:val="auto"/>
        <w:rPr>
          <w:rFonts w:hint="default"/>
          <w:lang w:val="en-US" w:eastAsia="zh-CN"/>
        </w:rPr>
      </w:pPr>
      <w:r>
        <w:rPr>
          <w:rFonts w:hint="default"/>
          <w:lang w:val="en-US" w:eastAsia="zh-CN"/>
        </w:rPr>
        <w:t xml:space="preserve">• </w:t>
      </w:r>
      <w:r>
        <w:rPr>
          <w:rFonts w:hint="eastAsia"/>
          <w:lang w:val="en-US" w:eastAsia="zh-CN"/>
        </w:rPr>
        <w:t>患者和公众成员的定位和任务</w:t>
      </w:r>
    </w:p>
    <w:p>
      <w:pPr>
        <w:keepNext w:val="0"/>
        <w:keepLines w:val="0"/>
        <w:pageBreakBefore w:val="0"/>
        <w:kinsoku/>
        <w:wordWrap/>
        <w:overflowPunct/>
        <w:topLinePunct w:val="0"/>
        <w:autoSpaceDE/>
        <w:autoSpaceDN/>
        <w:bidi w:val="0"/>
        <w:adjustRightInd/>
        <w:snapToGrid w:val="0"/>
        <w:spacing w:line="360" w:lineRule="auto"/>
        <w:textAlignment w:val="auto"/>
        <w:rPr>
          <w:rFonts w:hint="default"/>
          <w:lang w:val="en-US" w:eastAsia="zh-CN"/>
        </w:rPr>
      </w:pPr>
      <w:r>
        <w:rPr>
          <w:rFonts w:hint="default"/>
          <w:lang w:val="en-US" w:eastAsia="zh-CN"/>
        </w:rPr>
        <w:t>•</w:t>
      </w:r>
      <w:r>
        <w:rPr>
          <w:rFonts w:hint="eastAsia"/>
          <w:lang w:val="en-US" w:eastAsia="zh-CN"/>
        </w:rPr>
        <w:t xml:space="preserve"> 成员的类型和数量</w:t>
      </w:r>
    </w:p>
    <w:p>
      <w:pPr>
        <w:keepNext w:val="0"/>
        <w:keepLines w:val="0"/>
        <w:pageBreakBefore w:val="0"/>
        <w:kinsoku/>
        <w:wordWrap/>
        <w:overflowPunct/>
        <w:topLinePunct w:val="0"/>
        <w:autoSpaceDE/>
        <w:autoSpaceDN/>
        <w:bidi w:val="0"/>
        <w:adjustRightInd/>
        <w:snapToGrid w:val="0"/>
        <w:spacing w:line="360" w:lineRule="auto"/>
        <w:textAlignment w:val="auto"/>
        <w:rPr>
          <w:rFonts w:hint="default"/>
          <w:lang w:val="en-US" w:eastAsia="zh-CN"/>
        </w:rPr>
      </w:pPr>
      <w:r>
        <w:rPr>
          <w:rFonts w:hint="default"/>
          <w:lang w:val="en-US" w:eastAsia="zh-CN"/>
        </w:rPr>
        <w:t xml:space="preserve">• </w:t>
      </w:r>
      <w:r>
        <w:rPr>
          <w:rFonts w:hint="eastAsia"/>
          <w:lang w:val="en-US" w:eastAsia="zh-CN"/>
        </w:rPr>
        <w:t>获得适当的代表</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lang w:val="en-US" w:eastAsia="zh-CN"/>
        </w:rPr>
      </w:pPr>
      <w:r>
        <w:rPr>
          <w:rFonts w:hint="default"/>
          <w:lang w:val="en-US" w:eastAsia="zh-CN"/>
        </w:rPr>
        <w:t xml:space="preserve">• </w:t>
      </w:r>
      <w:r>
        <w:rPr>
          <w:rFonts w:hint="eastAsia"/>
          <w:lang w:val="en-US" w:eastAsia="zh-CN"/>
        </w:rPr>
        <w:t>所需的技能和经验</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lang w:val="en-US" w:eastAsia="zh-CN"/>
        </w:rPr>
      </w:pPr>
    </w:p>
    <w:p>
      <w:pPr>
        <w:keepNext w:val="0"/>
        <w:keepLines w:val="0"/>
        <w:pageBreakBefore w:val="0"/>
        <w:kinsoku/>
        <w:wordWrap/>
        <w:overflowPunct/>
        <w:topLinePunct w:val="0"/>
        <w:autoSpaceDE/>
        <w:autoSpaceDN/>
        <w:bidi w:val="0"/>
        <w:adjustRightInd/>
        <w:snapToGrid w:val="0"/>
        <w:spacing w:line="360" w:lineRule="auto"/>
        <w:textAlignment w:val="auto"/>
        <w:rPr>
          <w:rFonts w:hint="default"/>
          <w:b/>
          <w:bCs/>
          <w:lang w:val="en-US" w:eastAsia="zh-CN"/>
        </w:rPr>
      </w:pPr>
      <w:r>
        <w:rPr>
          <w:rFonts w:hint="eastAsia"/>
          <w:b/>
          <w:bCs/>
          <w:lang w:val="en-US" w:eastAsia="zh-CN"/>
        </w:rPr>
        <w:t>患者和公众成员的定位和任务</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lang w:val="en-US" w:eastAsia="zh-CN"/>
        </w:rPr>
      </w:pPr>
      <w:r>
        <w:rPr>
          <w:rFonts w:hint="eastAsia"/>
          <w:lang w:val="en-US" w:eastAsia="zh-CN"/>
        </w:rPr>
        <w:t>制定者们应明确患者和公众参与的目的和理由，因为他们的角色拥有任务、能力和品质这些影响招募的因素。在小组中的作用定义了这些角色，包括在制定过程中平等地参与到出谋划策中去。</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lang w:val="en-US" w:eastAsia="zh-CN"/>
        </w:rPr>
      </w:pP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lang w:val="en-US" w:eastAsia="zh-CN"/>
        </w:rPr>
      </w:pPr>
      <w:r>
        <w:rPr>
          <w:rFonts w:hint="eastAsia"/>
          <w:lang w:val="en-US" w:eastAsia="zh-CN"/>
        </w:rPr>
        <w:t>Knaapen和Lehoux (2016)定义了3种模式，在为完成既定任务而制定角色时可以考虑运用:消费模式、民主模式和专家模式。消费模式强调个人在医疗保健决策中拥有自主选择的权利，医疗行为应根据患者的需求和偏好进行调整。这个模型适用于为了明确患者的偏好和发展决策辅助的任务中。民主模式是指公民(和纳税人)在政策或集体层面上民主决策的权利(Knaapen和Lehoux 2016)。此模式适用于制定影响医疗服务的规划或重新规划的政策文件的任务。专家模型强调患者和公众需掌握对疾病、治疗和生活质量结局的经验和知识。因此，它提供了与医疗从业人员不同的专业知识，这有助有制定指南。</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lang w:val="en-US" w:eastAsia="zh-CN"/>
        </w:rPr>
      </w:pP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lang w:val="en-US" w:eastAsia="zh-CN"/>
        </w:rPr>
      </w:pPr>
      <w:r>
        <w:rPr>
          <w:rFonts w:hint="eastAsia"/>
          <w:lang w:val="en-US" w:eastAsia="zh-CN"/>
        </w:rPr>
        <w:t>尽管这些模型有助于启动对角色和任务的设定，但由于有时需要患者和公众执行多重任务，因此它们可能会产生矛盾，例如在以下过程中——起草建议、整合知识、修订草案以及不时进行的战略决策，包括确定委员会成员、概述范围以及提供决策（Légaré等，2011）。任务的类型和范围将最终影响到要招募的患者和公众的数量和类型。</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lang w:val="en-US" w:eastAsia="zh-CN"/>
        </w:rPr>
      </w:pP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lang w:val="en-US" w:eastAsia="zh-CN"/>
        </w:rPr>
      </w:pPr>
      <w:r>
        <w:rPr>
          <w:rFonts w:hint="eastAsia"/>
          <w:lang w:val="en-US" w:eastAsia="zh-CN"/>
        </w:rPr>
        <w:t>同样重要的是，理想情况下应确保患者和公众能够涉及开发过程的每个阶段（包括最初研究范围界定的阶段）。这将防止患者和公众成员反对主题范围并脱离小组（van Wersch等，2001）。 如果不能尽早或在开发过程的所有阶段都让成员参与其中，替代方案是邀请其他代表参加一次会议或协商事宜。（请参阅有关如何进行有针对性的公众咨询的章节）</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lang w:val="en-US" w:eastAsia="zh-CN"/>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lang w:val="en-US" w:eastAsia="zh-CN"/>
        </w:rPr>
      </w:pPr>
      <w:r>
        <w:rPr>
          <w:rFonts w:hint="eastAsia"/>
          <w:b/>
          <w:bCs/>
          <w:lang w:val="en-US" w:eastAsia="zh-CN"/>
        </w:rPr>
        <w:t>实践中的角色和任务</w:t>
      </w:r>
    </w:p>
    <w:p>
      <w:pPr>
        <w:pStyle w:val="6"/>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lang w:val="en-US" w:eastAsia="zh-CN"/>
        </w:rPr>
      </w:pPr>
      <w:r>
        <w:rPr>
          <w:rFonts w:hint="eastAsia"/>
          <w:lang w:val="en-US" w:eastAsia="zh-CN"/>
        </w:rPr>
        <w:t>英国NICE（</w:t>
      </w:r>
      <w:r>
        <w:rPr>
          <w:rFonts w:hint="eastAsia"/>
        </w:rPr>
        <w:t>National Institute</w:t>
      </w:r>
      <w:r>
        <w:t xml:space="preserve"> </w:t>
      </w:r>
      <w:r>
        <w:rPr>
          <w:rFonts w:hint="eastAsia"/>
        </w:rPr>
        <w:t>of</w:t>
      </w:r>
      <w:r>
        <w:t xml:space="preserve"> </w:t>
      </w:r>
      <w:r>
        <w:rPr>
          <w:rFonts w:hint="eastAsia"/>
        </w:rPr>
        <w:t>Health</w:t>
      </w:r>
      <w:r>
        <w:t xml:space="preserve"> </w:t>
      </w:r>
      <w:r>
        <w:rPr>
          <w:rFonts w:hint="eastAsia"/>
        </w:rPr>
        <w:t>and</w:t>
      </w:r>
      <w:r>
        <w:t xml:space="preserve"> </w:t>
      </w:r>
      <w:r>
        <w:rPr>
          <w:rFonts w:hint="eastAsia"/>
        </w:rPr>
        <w:t>Clinical</w:t>
      </w:r>
      <w:r>
        <w:t xml:space="preserve"> </w:t>
      </w:r>
      <w:r>
        <w:rPr>
          <w:rFonts w:hint="eastAsia"/>
        </w:rPr>
        <w:t>Excellence</w:t>
      </w:r>
      <w:r>
        <w:rPr>
          <w:rFonts w:hint="eastAsia"/>
          <w:lang w:val="en-US" w:eastAsia="zh-CN"/>
        </w:rPr>
        <w:t>英国国家卫生和临床技术优化研究所）在指南制定的全过程都邀请患者和公众参与，他们扮演与医疗和社会护理人员相同的角色，承担同样的任务。这些任务包括</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lang w:val="en-US" w:eastAsia="zh-CN"/>
        </w:rPr>
      </w:pPr>
      <w:r>
        <w:rPr>
          <w:rFonts w:hint="eastAsia"/>
          <w:lang w:val="en-US" w:eastAsia="zh-CN"/>
        </w:rPr>
        <w:t>•同意评审问题和规程</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lang w:val="en-US" w:eastAsia="zh-CN"/>
        </w:rPr>
      </w:pPr>
      <w:r>
        <w:rPr>
          <w:rFonts w:hint="eastAsia"/>
          <w:lang w:val="en-US" w:eastAsia="zh-CN"/>
        </w:rPr>
        <w:t>•评估和解释证据</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lang w:val="en-US" w:eastAsia="zh-CN"/>
        </w:rPr>
      </w:pPr>
      <w:r>
        <w:rPr>
          <w:rFonts w:hint="eastAsia"/>
          <w:lang w:val="en-US" w:eastAsia="zh-CN"/>
        </w:rPr>
        <w:t>•生产建议</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lang w:val="en-US" w:eastAsia="zh-CN"/>
        </w:rPr>
      </w:pPr>
      <w:r>
        <w:rPr>
          <w:rFonts w:hint="eastAsia"/>
          <w:lang w:val="en-US" w:eastAsia="zh-CN"/>
        </w:rPr>
        <w:t>•确定相关利益相关者进行咨询</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lang w:val="en-US" w:eastAsia="zh-CN"/>
        </w:rPr>
      </w:pPr>
      <w:r>
        <w:rPr>
          <w:rFonts w:hint="eastAsia"/>
          <w:lang w:val="en-US" w:eastAsia="zh-CN"/>
        </w:rPr>
        <w:t>•参与起草文件</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lang w:val="en-US" w:eastAsia="zh-CN"/>
        </w:rPr>
      </w:pPr>
      <w:r>
        <w:rPr>
          <w:rFonts w:hint="eastAsia"/>
          <w:lang w:val="en-US" w:eastAsia="zh-CN"/>
        </w:rPr>
        <w:t>•为公众提供信息。</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lang w:val="en-US" w:eastAsia="zh-CN"/>
        </w:rPr>
      </w:pPr>
    </w:p>
    <w:p>
      <w:pPr>
        <w:pStyle w:val="6"/>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lang w:val="en-US" w:eastAsia="zh-CN"/>
        </w:rPr>
      </w:pPr>
      <w:r>
        <w:rPr>
          <w:rFonts w:hint="eastAsia"/>
          <w:lang w:val="en-US" w:eastAsia="zh-CN"/>
        </w:rPr>
        <w:t>RNAO（安大略湖注册护士协会Registered Nurses Association of Ontario ） 以类似于NICE的方式使患者和公众参与其中。 在某些主题中，NICE会尽早地招募患者或护理人员参与到较小的界定组，以帮助制定指南范围，有可能还支持患者决策辅助的开发。当患者或公众无法参与指南制定的所有阶段时，苏格兰的SIGN（苏格兰校际指南网络</w:t>
      </w:r>
      <w:r>
        <w:rPr>
          <w:rFonts w:ascii="Arial" w:hAnsi="Arial" w:cs="Arial"/>
          <w:color w:val="333333"/>
          <w:sz w:val="20"/>
          <w:szCs w:val="20"/>
          <w:shd w:val="clear" w:color="auto" w:fill="FFFFFF"/>
        </w:rPr>
        <w:t>Scottish Intercollegiate Guidelines Network</w:t>
      </w:r>
      <w:r>
        <w:rPr>
          <w:rFonts w:hint="eastAsia"/>
          <w:lang w:val="en-US" w:eastAsia="zh-CN"/>
        </w:rPr>
        <w:t>）会邀请额外有条件的代表参加特定会议。还可以招募患者和公众担任和负责不同类型的角色和任务。英国的NICE、德国的ÄZQ（德国药品质量管理局）和加拿大的RNAO在根据指南制定质量标准和指标时，都会招募患者和公众，包括评级和评估过程。</w:t>
      </w:r>
    </w:p>
    <w:p>
      <w:pPr>
        <w:pStyle w:val="6"/>
        <w:keepNext w:val="0"/>
        <w:keepLines w:val="0"/>
        <w:pageBreakBefore w:val="0"/>
        <w:kinsoku/>
        <w:wordWrap/>
        <w:overflowPunct/>
        <w:topLinePunct w:val="0"/>
        <w:autoSpaceDE/>
        <w:autoSpaceDN/>
        <w:bidi w:val="0"/>
        <w:adjustRightInd/>
        <w:snapToGrid w:val="0"/>
        <w:spacing w:line="360" w:lineRule="auto"/>
        <w:textAlignment w:val="auto"/>
        <w:rPr>
          <w:rFonts w:hint="eastAsia"/>
          <w:lang w:val="en-US" w:eastAsia="zh-CN"/>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b/>
          <w:bCs/>
          <w:lang w:val="en-US" w:eastAsia="zh-CN"/>
        </w:rPr>
      </w:pPr>
      <w:r>
        <w:rPr>
          <w:rFonts w:hint="eastAsia"/>
          <w:b/>
          <w:bCs/>
          <w:lang w:val="en-US" w:eastAsia="zh-CN"/>
        </w:rPr>
        <w:t>患者或公众成员的类型和数量</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b/>
          <w:bCs/>
          <w:lang w:val="en-US" w:eastAsia="zh-CN"/>
        </w:rPr>
      </w:pPr>
      <w:r>
        <w:rPr>
          <w:rFonts w:hint="eastAsia"/>
          <w:b/>
          <w:bCs/>
          <w:lang w:val="en-US" w:eastAsia="zh-CN"/>
        </w:rPr>
        <w:t>我们应该招募什么样的患者或公众成员?</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lang w:val="en-US" w:eastAsia="zh-CN"/>
        </w:rPr>
      </w:pPr>
      <w:r>
        <w:rPr>
          <w:rFonts w:hint="eastAsia"/>
          <w:lang w:val="en-US" w:eastAsia="zh-CN"/>
        </w:rPr>
        <w:t>所纳入成员的类型受到指南主题、角色和任务的影响。纳入成员可以包括患者、护理人员、父母或患者组织的成员。当患者亲属受到相关情况的影响时，纳入照顾者或父母就会很重要，或者他们在照顾特殊情况的患者(例如痴呆症)中扮演着不可或缺的角色。如果难以纳入某些特殊群体的患者（例如年幼的儿童）进来，则可以招募其父母或护理人员(更多信息，请参阅本章中关于克服纳入特殊人群障碍的部分)。制定者们还可以考虑纳入来自患者组织的员工或志愿者。即使这个人没有这种疾病的个人经历，他们也可以提供对这种疾病的一个更开阔的视角。需要注意的是，来自同一个组织的病人、护理人员或成员会有不同的观点，这对纳入各种观点是有帮助的。</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lang w:val="en-US" w:eastAsia="zh-CN"/>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b/>
          <w:bCs/>
          <w:lang w:val="en-US" w:eastAsia="zh-CN"/>
        </w:rPr>
      </w:pPr>
      <w:r>
        <w:rPr>
          <w:rFonts w:hint="eastAsia"/>
          <w:b/>
          <w:bCs/>
          <w:lang w:val="en-US" w:eastAsia="zh-CN"/>
        </w:rPr>
        <w:t>我们应该招募多少患者或公众成员?</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lang w:val="en-US" w:eastAsia="zh-CN"/>
        </w:rPr>
      </w:pPr>
      <w:r>
        <w:rPr>
          <w:rFonts w:hint="eastAsia"/>
          <w:lang w:val="en-US" w:eastAsia="zh-CN"/>
        </w:rPr>
        <w:t>NICE建议每个指南小组至少招募2名患者或公众成员，他们可为患者、家长、护理人员或患者组织的成员。以下情况可以招募更多成员：指南涵盖多重任务、条件复杂、或者要求更多角色和任务。这样做的优点有：</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lang w:val="en-US" w:eastAsia="zh-CN"/>
        </w:rPr>
      </w:pPr>
      <w:r>
        <w:rPr>
          <w:rFonts w:hint="eastAsia"/>
          <w:lang w:val="en-US" w:eastAsia="zh-CN"/>
        </w:rPr>
        <w:t>•拓展团队的经验，确保指南的各个层面都包含了患者或公众的观点</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lang w:val="en-US" w:eastAsia="zh-CN"/>
        </w:rPr>
      </w:pPr>
      <w:r>
        <w:rPr>
          <w:rFonts w:hint="eastAsia"/>
          <w:lang w:val="en-US" w:eastAsia="zh-CN"/>
        </w:rPr>
        <w:t>•建立信心，提供社会支持，鼓励患者做出贡献</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lang w:val="en-US" w:eastAsia="zh-CN"/>
        </w:rPr>
      </w:pPr>
      <w:r>
        <w:rPr>
          <w:rFonts w:hint="eastAsia"/>
          <w:lang w:val="en-US" w:eastAsia="zh-CN"/>
        </w:rPr>
        <w:t>•减少孤立感，这是妨碍患者参与的已知障碍</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lang w:val="en-US" w:eastAsia="zh-CN"/>
        </w:rPr>
      </w:pPr>
      <w:r>
        <w:rPr>
          <w:rFonts w:hint="eastAsia"/>
          <w:lang w:val="en-US" w:eastAsia="zh-CN"/>
        </w:rPr>
        <w:t>•为患者和公众提供工作伙伴。</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lang w:val="en-US" w:eastAsia="zh-CN"/>
        </w:rPr>
      </w:pP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lang w:val="en-US" w:eastAsia="zh-CN"/>
        </w:rPr>
      </w:pPr>
      <w:r>
        <w:rPr>
          <w:rFonts w:hint="eastAsia"/>
          <w:lang w:val="en-US" w:eastAsia="zh-CN"/>
        </w:rPr>
        <w:t>同时也应将社会人口统计学纳入考虑，例如年龄范围，这可能会影响所需患者和公众成员的数量。例如，对于正在制定的关于婴儿、儿童和青少年医疗保健体验指南（2020年），NICE招募的6名成员（总共16名成员）中包括了2名父母和4名18至25岁的年轻人，他们有着对不同层次医疗保健的经验。</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b/>
          <w:bCs/>
          <w:lang w:val="en-US" w:eastAsia="zh-CN"/>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b/>
          <w:bCs/>
          <w:lang w:val="en-US" w:eastAsia="zh-CN"/>
        </w:rPr>
      </w:pPr>
      <w:r>
        <w:rPr>
          <w:rFonts w:hint="eastAsia"/>
          <w:b/>
          <w:bCs/>
          <w:lang w:val="en-US" w:eastAsia="zh-CN"/>
        </w:rPr>
        <w:t>代表的与代表性的比较</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lang w:val="en-US" w:eastAsia="zh-CN"/>
        </w:rPr>
      </w:pPr>
      <w:r>
        <w:rPr>
          <w:rFonts w:hint="eastAsia"/>
          <w:lang w:val="en-US" w:eastAsia="zh-CN"/>
        </w:rPr>
        <w:t>招募到能够代表受指南影响的疾病或问题的患者和公众是很重要的。有效参与的一个常见障碍是难以招募那些可以广泛代表该指南而又不十分关注他们自己的主观经验或议程的人（Carroll等人，2017；Légaré等人，2011）。个人要能够代表所讨论疾病的共性和不同方面，但是，参与的患者和公众不能代表构成人群的所有人或涵盖所有社会人口统计学特征（例如年龄、性别、种族）。因此，制定者们需要考虑广大患者和公众（可能是患者、父母、护理人员或患者组织的成员）以实现广泛的代表性，同时应考虑采用其他方法来解决代表性方面的差距（请参阅本章中有关支持患者和公众成员的部分）。</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lang w:val="en-US" w:eastAsia="zh-CN"/>
        </w:rPr>
      </w:pP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b/>
          <w:bCs/>
          <w:lang w:val="en-US" w:eastAsia="zh-CN"/>
        </w:rPr>
      </w:pPr>
      <w:r>
        <w:rPr>
          <w:rFonts w:hint="eastAsia"/>
          <w:lang w:val="en-US" w:eastAsia="zh-CN"/>
        </w:rPr>
        <w:t>指南制定者和患者组织报告说，在指南团队上实现足够代表性的一个障碍是患者和公众成员缺乏参与指南制定的共同利益。解决方案是纳入与本组健康主题利益相关的其他患者组织。 或者，纳入关注与本组疾病有相似的症状或经历的其他组织。 例如，如果指南主题涉及血压，则可以考虑邀请与冠心病相关的组织参加。</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b/>
          <w:bCs/>
          <w:lang w:val="en-US" w:eastAsia="zh-CN"/>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b/>
          <w:bCs/>
          <w:lang w:val="en-US" w:eastAsia="zh-CN"/>
        </w:rPr>
      </w:pPr>
      <w:r>
        <w:rPr>
          <w:rFonts w:hint="eastAsia"/>
          <w:b/>
          <w:bCs/>
          <w:lang w:val="en-US" w:eastAsia="zh-CN"/>
        </w:rPr>
        <w:t>所需的经验、知识和技能</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lang w:val="en-US" w:eastAsia="zh-CN"/>
        </w:rPr>
      </w:pPr>
      <w:r>
        <w:rPr>
          <w:rFonts w:hint="eastAsia"/>
          <w:lang w:val="en-US" w:eastAsia="zh-CN"/>
        </w:rPr>
        <w:t>在明确患者和公共成员的角色、类型和数量之后，制定者应该用平实易懂的语言信息概述角色和人员规范。患者和公共成员的一个重要贡献是他们对疾病的经历，因此应将其纳入到角色规范中，不包括那些没有相关经历，仅对疾病有智力或专业知识贡献的人。概述所需的其他技能，例如沟通和团队合作的能力。理想情况下，应招募那些将为小组讨论做出积极贡献并能够代表更广泛的患者或公众团体观点的人员，这些人可以通过支持小组或患者组织的其他成员来联系获得。根据指南小组的角色和任务，制定者们可能需要多种类型的技能，或者他们要招募更多人员来实现这种多样性。角色和人员说明应解释此类技能要求、工作内容、时间投入、费用支出或支付安排，以及可获得的支持或培训。面向患者和护理人员代表的SIGN 100手册（SIGN 100 handbook）提供了指南制定所需的角色和技能的示例（2019年），文件1中可以找到NICE的示例角色说明。</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lang w:val="en-US" w:eastAsia="zh-CN"/>
        </w:rPr>
      </w:pPr>
      <w:r>
        <w:rPr>
          <w:rFonts w:hint="eastAsia"/>
          <w:lang w:val="en-US" w:eastAsia="zh-CN"/>
        </w:rPr>
        <w:t>角色规范不应使可以为该小组做出重要的贡献的人员失去资格。例如，设置学术门槛或要求研究经验可能会阻碍获得真正的非专业的代表（Boivin等，2009）。在RNAO和NICE这些机构中，经验丰富的人员在申请时无需提交履历，但必须描述其与该主题相关的经验。制定者可以考虑通过与项目团队“在工作中”共同学习（例如研究专业术语）或通过正式培训来获得特定知识或技能。一些课程免费在线提供，或少量收费（请参阅资源文件2以获取培训资源列表）。 我们更应加以关注的是在角色中无法学习到的“软”技能、经验或知识，例如接触过患有相关疾病人群并能够反思自己的这些经历的能力。</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lang w:val="en-US" w:eastAsia="zh-CN"/>
        </w:rPr>
      </w:pP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lang w:val="en-US" w:eastAsia="zh-CN"/>
        </w:rPr>
      </w:pPr>
      <w:r>
        <w:rPr>
          <w:rFonts w:hint="eastAsia"/>
          <w:lang w:val="en-US" w:eastAsia="zh-CN"/>
        </w:rPr>
        <w:t xml:space="preserve">要招募2位或更多具有丰富经验、知识和技能的患者或公众成员，可以考虑以下因素： •病情的相关经验 </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lang w:val="en-US" w:eastAsia="zh-CN"/>
        </w:rPr>
      </w:pPr>
      <w:r>
        <w:rPr>
          <w:rFonts w:hint="eastAsia"/>
          <w:lang w:val="en-US" w:eastAsia="zh-CN"/>
        </w:rPr>
        <w:t xml:space="preserve">•了解对患者而言息息相关的重要问题 </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lang w:val="en-US" w:eastAsia="zh-CN"/>
        </w:rPr>
      </w:pPr>
      <w:r>
        <w:rPr>
          <w:rFonts w:hint="eastAsia"/>
          <w:lang w:val="en-US" w:eastAsia="zh-CN"/>
        </w:rPr>
        <w:t>•能够反思和尊重广大从患者组织、论坛和自助会联系上的病患以及他们的患病经历</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lang w:val="en-US" w:eastAsia="zh-CN"/>
        </w:rPr>
      </w:pPr>
      <w:r>
        <w:rPr>
          <w:rFonts w:hint="eastAsia"/>
          <w:lang w:val="en-US" w:eastAsia="zh-CN"/>
        </w:rPr>
        <w:t xml:space="preserve">•参加会议和完成相关工作的时间和要求 </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lang w:val="en-US" w:eastAsia="zh-CN"/>
        </w:rPr>
      </w:pPr>
      <w:r>
        <w:rPr>
          <w:rFonts w:hint="eastAsia"/>
          <w:lang w:val="en-US" w:eastAsia="zh-CN"/>
        </w:rPr>
        <w:t xml:space="preserve">•良好的沟通和团队合作能力 </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lang w:val="en-US" w:eastAsia="zh-CN"/>
        </w:rPr>
      </w:pPr>
      <w:r>
        <w:rPr>
          <w:rFonts w:hint="eastAsia"/>
          <w:lang w:val="en-US" w:eastAsia="zh-CN"/>
        </w:rPr>
        <w:t xml:space="preserve">•严防信息泄露 </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lang w:val="en-US" w:eastAsia="zh-CN"/>
        </w:rPr>
      </w:pPr>
      <w:r>
        <w:rPr>
          <w:rFonts w:hint="eastAsia"/>
          <w:lang w:val="en-US" w:eastAsia="zh-CN"/>
        </w:rPr>
        <w:t>•公开利益收入，例如从制药公司获得的资金支持。</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lang w:val="en-US" w:eastAsia="zh-CN"/>
        </w:rPr>
      </w:pPr>
    </w:p>
    <w:p>
      <w:pPr>
        <w:keepNext w:val="0"/>
        <w:keepLines w:val="0"/>
        <w:pageBreakBefore w:val="0"/>
        <w:kinsoku/>
        <w:wordWrap/>
        <w:overflowPunct/>
        <w:topLinePunct w:val="0"/>
        <w:autoSpaceDE/>
        <w:autoSpaceDN/>
        <w:bidi w:val="0"/>
        <w:adjustRightInd/>
        <w:snapToGrid w:val="0"/>
        <w:spacing w:line="360" w:lineRule="auto"/>
        <w:textAlignment w:val="auto"/>
        <w:rPr>
          <w:rFonts w:hint="default" w:eastAsiaTheme="minorEastAsia"/>
          <w:b/>
          <w:bCs/>
          <w:sz w:val="24"/>
          <w:szCs w:val="32"/>
          <w:lang w:val="en-US" w:eastAsia="zh-CN"/>
        </w:rPr>
      </w:pPr>
      <w:r>
        <w:rPr>
          <w:rFonts w:hint="eastAsia"/>
          <w:b/>
          <w:bCs/>
          <w:sz w:val="24"/>
          <w:szCs w:val="32"/>
          <w:lang w:val="en-US" w:eastAsia="zh-CN"/>
        </w:rPr>
        <w:t>第二部分 招募患者和公众成员</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default" w:eastAsiaTheme="minorEastAsia"/>
          <w:lang w:val="en-US" w:eastAsia="zh-CN"/>
        </w:rPr>
      </w:pPr>
      <w:r>
        <w:rPr>
          <w:rFonts w:hint="eastAsia"/>
          <w:lang w:val="en-US" w:eastAsia="zh-CN"/>
        </w:rPr>
        <w:t>成功的招募策略关键在于招募身怀不同技能与经验的人</w:t>
      </w:r>
      <w:r>
        <w:rPr>
          <w:rFonts w:hint="eastAsia"/>
        </w:rPr>
        <w:t>(Boivin et al. 2010)</w:t>
      </w:r>
      <w:r>
        <w:rPr>
          <w:rFonts w:hint="eastAsia"/>
          <w:lang w:eastAsia="zh-CN"/>
        </w:rPr>
        <w:t>。研究表明，临床指南指南制定者</w:t>
      </w:r>
      <w:r>
        <w:rPr>
          <w:rFonts w:hint="eastAsia"/>
          <w:lang w:val="en-US" w:eastAsia="zh-CN"/>
        </w:rPr>
        <w:t>招募</w:t>
      </w:r>
      <w:r>
        <w:rPr>
          <w:rFonts w:hint="eastAsia"/>
          <w:lang w:eastAsia="zh-CN"/>
        </w:rPr>
        <w:t>的障碍是</w:t>
      </w:r>
      <w:r>
        <w:rPr>
          <w:rFonts w:hint="eastAsia"/>
          <w:lang w:val="en-US" w:eastAsia="zh-CN"/>
        </w:rPr>
        <w:t>缺乏</w:t>
      </w:r>
      <w:r>
        <w:rPr>
          <w:rFonts w:hint="eastAsia"/>
          <w:lang w:eastAsia="zh-CN"/>
        </w:rPr>
        <w:t>实施</w:t>
      </w:r>
      <w:r>
        <w:rPr>
          <w:rFonts w:hint="eastAsia"/>
          <w:lang w:val="en-US" w:eastAsia="zh-CN"/>
        </w:rPr>
        <w:t>招募策略</w:t>
      </w:r>
      <w:r>
        <w:rPr>
          <w:rFonts w:hint="eastAsia"/>
          <w:lang w:eastAsia="zh-CN"/>
        </w:rPr>
        <w:t>资源</w:t>
      </w:r>
      <w:r>
        <w:rPr>
          <w:rFonts w:hint="eastAsia"/>
        </w:rPr>
        <w:t>(Armstrong and Bloom 2017b)</w:t>
      </w:r>
      <w:r>
        <w:rPr>
          <w:rFonts w:hint="eastAsia"/>
          <w:lang w:eastAsia="zh-CN"/>
        </w:rPr>
        <w:t>。</w:t>
      </w:r>
      <w:r>
        <w:rPr>
          <w:rFonts w:hint="eastAsia"/>
          <w:lang w:val="en-US" w:eastAsia="zh-CN"/>
        </w:rPr>
        <w:t>因此本节提供了一系列招募策略建议，其中一些是</w:t>
      </w:r>
      <w:r>
        <w:rPr>
          <w:rFonts w:ascii="Arial" w:hAnsi="Arial" w:eastAsia="宋体" w:cs="Arial"/>
          <w:i w:val="0"/>
          <w:caps w:val="0"/>
          <w:color w:val="333333"/>
          <w:spacing w:val="0"/>
          <w:sz w:val="21"/>
          <w:szCs w:val="21"/>
          <w:shd w:val="clear" w:fill="FFFFFF"/>
        </w:rPr>
        <w:t>不影响成本的方法</w:t>
      </w:r>
      <w:r>
        <w:rPr>
          <w:rFonts w:hint="eastAsia"/>
          <w:lang w:val="en-US" w:eastAsia="zh-CN"/>
        </w:rPr>
        <w:t>。</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b/>
          <w:bCs/>
          <w:lang w:val="en-US" w:eastAsia="zh-CN"/>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eastAsiaTheme="minorEastAsia"/>
          <w:b/>
          <w:bCs/>
          <w:lang w:val="en-US" w:eastAsia="zh-CN"/>
        </w:rPr>
      </w:pPr>
      <w:r>
        <w:rPr>
          <w:rFonts w:hint="eastAsia"/>
          <w:b/>
          <w:bCs/>
          <w:lang w:val="en-US" w:eastAsia="zh-CN"/>
        </w:rPr>
        <w:t>举荐与</w:t>
      </w:r>
      <w:r>
        <w:rPr>
          <w:rFonts w:hint="eastAsia"/>
          <w:b/>
          <w:bCs/>
        </w:rPr>
        <w:t>公开</w:t>
      </w:r>
      <w:r>
        <w:rPr>
          <w:rFonts w:hint="eastAsia"/>
          <w:b/>
          <w:bCs/>
          <w:lang w:val="en-US" w:eastAsia="zh-CN"/>
        </w:rPr>
        <w:t>招募</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rPr>
      </w:pPr>
      <w:r>
        <w:rPr>
          <w:rFonts w:hint="eastAsia"/>
          <w:lang w:val="en-US" w:eastAsia="zh-CN"/>
        </w:rPr>
        <w:t>招募</w:t>
      </w:r>
      <w:r>
        <w:rPr>
          <w:rFonts w:hint="eastAsia"/>
        </w:rPr>
        <w:t>有两种关键方法：公开</w:t>
      </w:r>
      <w:r>
        <w:rPr>
          <w:rFonts w:hint="eastAsia"/>
          <w:lang w:val="en-US" w:eastAsia="zh-CN"/>
        </w:rPr>
        <w:t>招募</w:t>
      </w:r>
      <w:r>
        <w:rPr>
          <w:rFonts w:hint="eastAsia"/>
        </w:rPr>
        <w:t>和</w:t>
      </w:r>
      <w:r>
        <w:rPr>
          <w:rFonts w:hint="eastAsia"/>
          <w:lang w:val="en-US" w:eastAsia="zh-CN"/>
        </w:rPr>
        <w:t>举荐</w:t>
      </w:r>
      <w:r>
        <w:rPr>
          <w:rFonts w:hint="eastAsia"/>
        </w:rPr>
        <w:t>。在公开</w:t>
      </w:r>
      <w:r>
        <w:rPr>
          <w:rFonts w:hint="eastAsia"/>
          <w:lang w:eastAsia="zh-CN"/>
        </w:rPr>
        <w:t>招募</w:t>
      </w:r>
      <w:r>
        <w:rPr>
          <w:rFonts w:hint="eastAsia"/>
        </w:rPr>
        <w:t>中，</w:t>
      </w:r>
      <w:r>
        <w:rPr>
          <w:rFonts w:hint="eastAsia"/>
          <w:lang w:eastAsia="zh-CN"/>
        </w:rPr>
        <w:t>指南指南制定者</w:t>
      </w:r>
      <w:r>
        <w:rPr>
          <w:rFonts w:hint="eastAsia"/>
        </w:rPr>
        <w:t>使用</w:t>
      </w:r>
      <w:r>
        <w:rPr>
          <w:rFonts w:hint="eastAsia"/>
          <w:lang w:val="en-US" w:eastAsia="zh-CN"/>
        </w:rPr>
        <w:t>职位</w:t>
      </w:r>
      <w:r>
        <w:rPr>
          <w:rFonts w:hint="eastAsia"/>
        </w:rPr>
        <w:t>和</w:t>
      </w:r>
      <w:r>
        <w:rPr>
          <w:rFonts w:hint="eastAsia"/>
          <w:lang w:eastAsia="zh-CN"/>
        </w:rPr>
        <w:t>任职资格要求</w:t>
      </w:r>
      <w:r>
        <w:rPr>
          <w:rFonts w:hint="eastAsia"/>
        </w:rPr>
        <w:t>发布</w:t>
      </w:r>
      <w:r>
        <w:rPr>
          <w:rFonts w:hint="eastAsia"/>
          <w:lang w:val="en-US" w:eastAsia="zh-CN"/>
        </w:rPr>
        <w:t>海报</w:t>
      </w:r>
      <w:r>
        <w:rPr>
          <w:rFonts w:hint="eastAsia"/>
        </w:rPr>
        <w:t>广告。申请是根据标准进行审核的，</w:t>
      </w:r>
      <w:r>
        <w:rPr>
          <w:rFonts w:hint="eastAsia"/>
          <w:lang w:eastAsia="zh-CN"/>
        </w:rPr>
        <w:t>指南制定者</w:t>
      </w:r>
      <w:r>
        <w:rPr>
          <w:rFonts w:hint="eastAsia"/>
        </w:rPr>
        <w:t>负责选择符合标准的人员。</w:t>
      </w:r>
      <w:r>
        <w:rPr>
          <w:rFonts w:hint="eastAsia"/>
          <w:lang w:val="en-US" w:eastAsia="zh-CN"/>
        </w:rPr>
        <w:t>举荐的使用是，由</w:t>
      </w:r>
      <w:r>
        <w:rPr>
          <w:rFonts w:hint="eastAsia"/>
          <w:lang w:eastAsia="zh-CN"/>
        </w:rPr>
        <w:t>指南制定者</w:t>
      </w:r>
      <w:r>
        <w:rPr>
          <w:rFonts w:hint="eastAsia"/>
        </w:rPr>
        <w:t>与患者组织联系，</w:t>
      </w:r>
      <w:r>
        <w:rPr>
          <w:rFonts w:hint="eastAsia"/>
          <w:lang w:val="en-US" w:eastAsia="zh-CN"/>
        </w:rPr>
        <w:t>后者举荐</w:t>
      </w:r>
      <w:r>
        <w:rPr>
          <w:rFonts w:hint="eastAsia"/>
        </w:rPr>
        <w:t>他们认为能够理解</w:t>
      </w:r>
      <w:r>
        <w:rPr>
          <w:rFonts w:hint="eastAsia"/>
          <w:lang w:val="en-US" w:eastAsia="zh-CN"/>
        </w:rPr>
        <w:t>与指南相关的</w:t>
      </w:r>
      <w:r>
        <w:rPr>
          <w:rFonts w:hint="eastAsia"/>
        </w:rPr>
        <w:t>患者或反映</w:t>
      </w:r>
      <w:r>
        <w:rPr>
          <w:rFonts w:hint="eastAsia"/>
          <w:lang w:val="en-US" w:eastAsia="zh-CN"/>
        </w:rPr>
        <w:t>相关</w:t>
      </w:r>
      <w:r>
        <w:rPr>
          <w:rFonts w:hint="eastAsia"/>
        </w:rPr>
        <w:t>公共问题的人。</w:t>
      </w:r>
      <w:r>
        <w:rPr>
          <w:rFonts w:hint="eastAsia"/>
          <w:lang w:val="en-US" w:eastAsia="zh-CN"/>
        </w:rPr>
        <w:t>举荐</w:t>
      </w:r>
      <w:r>
        <w:rPr>
          <w:rFonts w:hint="eastAsia"/>
        </w:rPr>
        <w:t>后，患者组织负责</w:t>
      </w:r>
      <w:r>
        <w:rPr>
          <w:rFonts w:hint="eastAsia"/>
          <w:lang w:val="en-US" w:eastAsia="zh-CN"/>
        </w:rPr>
        <w:t>招募</w:t>
      </w:r>
      <w:r>
        <w:rPr>
          <w:rFonts w:hint="eastAsia"/>
        </w:rPr>
        <w:t>，</w:t>
      </w:r>
      <w:r>
        <w:rPr>
          <w:rFonts w:hint="eastAsia"/>
          <w:lang w:eastAsia="zh-CN"/>
        </w:rPr>
        <w:t>指南制定者</w:t>
      </w:r>
      <w:r>
        <w:rPr>
          <w:rFonts w:hint="eastAsia"/>
        </w:rPr>
        <w:t>不应有任何意见。可以将这两种方法的要素结合起来，但无论选择何种方法，它都应该是一种可记录的可接受、透明和合理的方法。</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b/>
          <w:bCs/>
          <w:lang w:val="en-US" w:eastAsia="zh-CN"/>
        </w:rPr>
      </w:pPr>
    </w:p>
    <w:p>
      <w:pPr>
        <w:keepNext w:val="0"/>
        <w:keepLines w:val="0"/>
        <w:pageBreakBefore w:val="0"/>
        <w:kinsoku/>
        <w:wordWrap/>
        <w:overflowPunct/>
        <w:topLinePunct w:val="0"/>
        <w:autoSpaceDE/>
        <w:autoSpaceDN/>
        <w:bidi w:val="0"/>
        <w:adjustRightInd/>
        <w:snapToGrid w:val="0"/>
        <w:spacing w:line="360" w:lineRule="auto"/>
        <w:textAlignment w:val="auto"/>
        <w:rPr>
          <w:rFonts w:hint="default" w:eastAsiaTheme="minorEastAsia"/>
          <w:b/>
          <w:bCs/>
          <w:lang w:val="en-US" w:eastAsia="zh-CN"/>
        </w:rPr>
      </w:pPr>
      <w:r>
        <w:rPr>
          <w:rFonts w:hint="eastAsia"/>
          <w:b/>
          <w:bCs/>
          <w:lang w:val="en-US" w:eastAsia="zh-CN"/>
        </w:rPr>
        <w:t>两种方法的优劣</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rPr>
      </w:pPr>
      <w:r>
        <w:rPr>
          <w:rFonts w:hint="eastAsia"/>
        </w:rPr>
        <w:t>在决定使用哪种方法时，每种方法都有优点和缺点需要考虑。这些列在表 1 中概述。总之，公开</w:t>
      </w:r>
      <w:r>
        <w:rPr>
          <w:rFonts w:hint="eastAsia"/>
          <w:lang w:eastAsia="zh-CN"/>
        </w:rPr>
        <w:t>招募</w:t>
      </w:r>
      <w:r>
        <w:rPr>
          <w:rFonts w:hint="eastAsia"/>
        </w:rPr>
        <w:t>使更多的人能够参与进来，而且是透明的。它允许</w:t>
      </w:r>
      <w:r>
        <w:rPr>
          <w:rFonts w:hint="eastAsia"/>
          <w:lang w:eastAsia="zh-CN"/>
        </w:rPr>
        <w:t>指南制定者</w:t>
      </w:r>
      <w:r>
        <w:rPr>
          <w:rFonts w:hint="eastAsia"/>
        </w:rPr>
        <w:t>在来自不同地理位置、治疗中心和社会群体的人之间做出选择，从而有助于最大限度地减少</w:t>
      </w:r>
      <w:r>
        <w:rPr>
          <w:rFonts w:hint="eastAsia"/>
          <w:lang w:val="en-US" w:eastAsia="zh-CN"/>
        </w:rPr>
        <w:t>偏倚</w:t>
      </w:r>
      <w:r>
        <w:rPr>
          <w:rFonts w:hint="eastAsia"/>
        </w:rPr>
        <w:t>。但是，如果</w:t>
      </w:r>
      <w:r>
        <w:rPr>
          <w:rFonts w:hint="eastAsia"/>
          <w:lang w:eastAsia="zh-CN"/>
        </w:rPr>
        <w:t>指南制定者</w:t>
      </w:r>
      <w:r>
        <w:rPr>
          <w:rFonts w:hint="eastAsia"/>
        </w:rPr>
        <w:t>选择似乎更"兼容"于</w:t>
      </w:r>
      <w:r>
        <w:rPr>
          <w:rFonts w:hint="eastAsia"/>
          <w:lang w:eastAsia="zh-CN"/>
        </w:rPr>
        <w:t>指南制定组</w:t>
      </w:r>
      <w:r>
        <w:rPr>
          <w:rFonts w:hint="eastAsia"/>
        </w:rPr>
        <w:t>的兴趣或文化的人，则可能会增加</w:t>
      </w:r>
      <w:r>
        <w:rPr>
          <w:rFonts w:hint="eastAsia"/>
          <w:lang w:val="en-US" w:eastAsia="zh-CN"/>
        </w:rPr>
        <w:t>偏倚</w:t>
      </w:r>
      <w:r>
        <w:rPr>
          <w:rFonts w:hint="eastAsia"/>
        </w:rPr>
        <w:t>。为避免这种</w:t>
      </w:r>
      <w:r>
        <w:rPr>
          <w:rFonts w:hint="eastAsia"/>
          <w:lang w:val="en-US" w:eastAsia="zh-CN"/>
        </w:rPr>
        <w:t>偏倚</w:t>
      </w:r>
      <w:r>
        <w:rPr>
          <w:rFonts w:hint="eastAsia"/>
        </w:rPr>
        <w:t>，在选择和批准过程中，让</w:t>
      </w:r>
      <w:r>
        <w:rPr>
          <w:rFonts w:hint="eastAsia"/>
          <w:lang w:eastAsia="zh-CN"/>
        </w:rPr>
        <w:t>指南制定</w:t>
      </w:r>
      <w:r>
        <w:rPr>
          <w:rFonts w:hint="eastAsia"/>
        </w:rPr>
        <w:t>团队</w:t>
      </w:r>
      <w:r>
        <w:rPr>
          <w:rFonts w:hint="eastAsia"/>
          <w:lang w:val="en-US" w:eastAsia="zh-CN"/>
        </w:rPr>
        <w:t>之外</w:t>
      </w:r>
      <w:r>
        <w:rPr>
          <w:rFonts w:hint="eastAsia"/>
        </w:rPr>
        <w:t>合适</w:t>
      </w:r>
      <w:r>
        <w:rPr>
          <w:rFonts w:hint="eastAsia"/>
          <w:lang w:val="en-US" w:eastAsia="zh-CN"/>
        </w:rPr>
        <w:t>的</w:t>
      </w:r>
      <w:r>
        <w:rPr>
          <w:rFonts w:hint="eastAsia"/>
        </w:rPr>
        <w:t>人员参与进来，例如患者参与</w:t>
      </w:r>
      <w:r>
        <w:rPr>
          <w:rFonts w:hint="eastAsia"/>
          <w:lang w:val="en-US" w:eastAsia="zh-CN"/>
        </w:rPr>
        <w:t>方面的</w:t>
      </w:r>
      <w:r>
        <w:rPr>
          <w:rFonts w:hint="eastAsia"/>
        </w:rPr>
        <w:t>专家。与</w:t>
      </w:r>
      <w:r>
        <w:rPr>
          <w:rFonts w:hint="eastAsia"/>
          <w:lang w:eastAsia="zh-CN"/>
        </w:rPr>
        <w:t>举荐</w:t>
      </w:r>
      <w:r>
        <w:rPr>
          <w:rFonts w:hint="eastAsia"/>
        </w:rPr>
        <w:t>相比，公开</w:t>
      </w:r>
      <w:r>
        <w:rPr>
          <w:rFonts w:hint="eastAsia"/>
          <w:lang w:eastAsia="zh-CN"/>
        </w:rPr>
        <w:t>招募</w:t>
      </w:r>
      <w:r>
        <w:rPr>
          <w:rFonts w:hint="eastAsia"/>
        </w:rPr>
        <w:t>在人力资源和时间方面可能代价高昂。时间表应考虑制定</w:t>
      </w:r>
      <w:r>
        <w:rPr>
          <w:rFonts w:hint="eastAsia"/>
          <w:lang w:val="en-US" w:eastAsia="zh-CN"/>
        </w:rPr>
        <w:t>招募</w:t>
      </w:r>
      <w:r>
        <w:rPr>
          <w:rFonts w:hint="eastAsia"/>
        </w:rPr>
        <w:t>标准、管理</w:t>
      </w:r>
      <w:r>
        <w:rPr>
          <w:rFonts w:hint="eastAsia"/>
          <w:lang w:val="en-US" w:eastAsia="zh-CN"/>
        </w:rPr>
        <w:t>招募</w:t>
      </w:r>
      <w:r>
        <w:rPr>
          <w:rFonts w:hint="eastAsia"/>
        </w:rPr>
        <w:t>过程和审查申请。申请表和人员资格要求的模板可以帮助加快流程。</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rPr>
      </w:pP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rPr>
      </w:pPr>
      <w:r>
        <w:rPr>
          <w:rFonts w:hint="eastAsia"/>
        </w:rPr>
        <w:t>或者，</w:t>
      </w:r>
      <w:r>
        <w:rPr>
          <w:rFonts w:hint="eastAsia"/>
          <w:lang w:val="en-US" w:eastAsia="zh-CN"/>
        </w:rPr>
        <w:t>举荐</w:t>
      </w:r>
      <w:r>
        <w:rPr>
          <w:rFonts w:hint="eastAsia"/>
        </w:rPr>
        <w:t>速度很快，但可</w:t>
      </w:r>
      <w:r>
        <w:rPr>
          <w:rFonts w:hint="eastAsia"/>
          <w:lang w:val="en-US" w:eastAsia="zh-CN"/>
        </w:rPr>
        <w:t>能</w:t>
      </w:r>
      <w:r>
        <w:rPr>
          <w:rFonts w:hint="eastAsia"/>
        </w:rPr>
        <w:t>缩小潜在</w:t>
      </w:r>
      <w:r>
        <w:rPr>
          <w:rFonts w:hint="eastAsia"/>
          <w:lang w:val="en-US" w:eastAsia="zh-CN"/>
        </w:rPr>
        <w:t>参与人</w:t>
      </w:r>
      <w:r>
        <w:rPr>
          <w:rFonts w:hint="eastAsia"/>
        </w:rPr>
        <w:t>的</w:t>
      </w:r>
      <w:r>
        <w:rPr>
          <w:rFonts w:hint="eastAsia"/>
          <w:lang w:val="en-US" w:eastAsia="zh-CN"/>
        </w:rPr>
        <w:t>范围</w:t>
      </w:r>
      <w:r>
        <w:rPr>
          <w:rFonts w:hint="eastAsia"/>
        </w:rPr>
        <w:t>。为此，应从一开始就概述预先确定的</w:t>
      </w:r>
      <w:r>
        <w:rPr>
          <w:rFonts w:hint="eastAsia"/>
          <w:lang w:eastAsia="zh-CN"/>
        </w:rPr>
        <w:t>举荐</w:t>
      </w:r>
      <w:r>
        <w:rPr>
          <w:rFonts w:hint="eastAsia"/>
        </w:rPr>
        <w:t>程序，并实施</w:t>
      </w:r>
      <w:r>
        <w:rPr>
          <w:rFonts w:hint="eastAsia"/>
          <w:lang w:val="en-US" w:eastAsia="zh-CN"/>
        </w:rPr>
        <w:t>既定策略</w:t>
      </w:r>
      <w:r>
        <w:rPr>
          <w:rFonts w:hint="eastAsia"/>
        </w:rPr>
        <w:t>，确保人们从广泛的候选人中获得</w:t>
      </w:r>
      <w:r>
        <w:rPr>
          <w:rFonts w:hint="eastAsia"/>
          <w:lang w:val="en-US" w:eastAsia="zh-CN"/>
        </w:rPr>
        <w:t>被</w:t>
      </w:r>
      <w:r>
        <w:rPr>
          <w:rFonts w:hint="eastAsia"/>
          <w:lang w:eastAsia="zh-CN"/>
        </w:rPr>
        <w:t>举荐</w:t>
      </w:r>
      <w:r>
        <w:rPr>
          <w:rFonts w:hint="eastAsia"/>
          <w:lang w:val="en-US" w:eastAsia="zh-CN"/>
        </w:rPr>
        <w:t>的资格</w:t>
      </w:r>
      <w:r>
        <w:rPr>
          <w:rFonts w:hint="eastAsia"/>
        </w:rPr>
        <w:t>。有时，从患者组织招募的患者和公众成员可</w:t>
      </w:r>
      <w:r>
        <w:rPr>
          <w:rFonts w:hint="eastAsia"/>
          <w:lang w:val="en-US" w:eastAsia="zh-CN"/>
        </w:rPr>
        <w:t>能会奉行</w:t>
      </w:r>
      <w:r>
        <w:rPr>
          <w:rFonts w:hint="eastAsia"/>
        </w:rPr>
        <w:t>其</w:t>
      </w:r>
      <w:r>
        <w:rPr>
          <w:rFonts w:hint="eastAsia"/>
          <w:lang w:val="en-US" w:eastAsia="zh-CN"/>
        </w:rPr>
        <w:t>所在</w:t>
      </w:r>
      <w:r>
        <w:rPr>
          <w:rFonts w:hint="eastAsia"/>
        </w:rPr>
        <w:t>组织的</w:t>
      </w:r>
      <w:r>
        <w:rPr>
          <w:rFonts w:hint="eastAsia"/>
          <w:lang w:val="en-US" w:eastAsia="zh-CN"/>
        </w:rPr>
        <w:t>意愿</w:t>
      </w:r>
      <w:r>
        <w:rPr>
          <w:rFonts w:hint="eastAsia"/>
        </w:rPr>
        <w:t>。应通过上岗和培训来防止这种情况，强调个人要代表他们和其他患有此病的人的经历。</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rPr>
      </w:pP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rPr>
      </w:pPr>
      <w:r>
        <w:rPr>
          <w:rFonts w:hint="eastAsia"/>
        </w:rPr>
        <w:t>如果</w:t>
      </w:r>
      <w:r>
        <w:rPr>
          <w:rFonts w:hint="eastAsia"/>
          <w:lang w:eastAsia="zh-CN"/>
        </w:rPr>
        <w:t>指南制定者</w:t>
      </w:r>
      <w:r>
        <w:rPr>
          <w:rFonts w:hint="eastAsia"/>
        </w:rPr>
        <w:t>选择</w:t>
      </w:r>
      <w:r>
        <w:rPr>
          <w:rFonts w:hint="eastAsia"/>
          <w:lang w:val="en-US" w:eastAsia="zh-CN"/>
        </w:rPr>
        <w:t>举荐</w:t>
      </w:r>
      <w:r>
        <w:rPr>
          <w:rFonts w:hint="eastAsia"/>
        </w:rPr>
        <w:t>作为一种方法，他们需要考虑如果专业成员必须竞争才能"赢得"他们的位置，这将如何影响个人在团队中的地位。相反，如果</w:t>
      </w:r>
      <w:r>
        <w:rPr>
          <w:rFonts w:hint="eastAsia"/>
          <w:lang w:eastAsia="zh-CN"/>
        </w:rPr>
        <w:t>举荐</w:t>
      </w:r>
      <w:r>
        <w:rPr>
          <w:rFonts w:hint="eastAsia"/>
        </w:rPr>
        <w:t>卫生专业人员，可能没有明显的不公平。公开</w:t>
      </w:r>
      <w:r>
        <w:rPr>
          <w:rFonts w:hint="eastAsia"/>
          <w:lang w:val="en-US" w:eastAsia="zh-CN"/>
        </w:rPr>
        <w:t>招募</w:t>
      </w:r>
      <w:r>
        <w:rPr>
          <w:rFonts w:hint="eastAsia"/>
        </w:rPr>
        <w:t>可以增加</w:t>
      </w:r>
      <w:r>
        <w:rPr>
          <w:rFonts w:hint="eastAsia"/>
          <w:lang w:eastAsia="zh-CN"/>
        </w:rPr>
        <w:t>患者</w:t>
      </w:r>
      <w:r>
        <w:rPr>
          <w:rFonts w:hint="eastAsia"/>
        </w:rPr>
        <w:t>和公众成员的信心，因为他们知道</w:t>
      </w:r>
      <w:r>
        <w:rPr>
          <w:rFonts w:hint="eastAsia"/>
          <w:lang w:val="en-US" w:eastAsia="zh-CN"/>
        </w:rPr>
        <w:t>这些人</w:t>
      </w:r>
      <w:r>
        <w:rPr>
          <w:rFonts w:hint="eastAsia"/>
        </w:rPr>
        <w:t>是从一群申请</w:t>
      </w:r>
      <w:r>
        <w:rPr>
          <w:rFonts w:hint="eastAsia"/>
          <w:lang w:val="en-US" w:eastAsia="zh-CN"/>
        </w:rPr>
        <w:t>者</w:t>
      </w:r>
      <w:r>
        <w:rPr>
          <w:rFonts w:hint="eastAsia"/>
        </w:rPr>
        <w:t>中挑选出来的。</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rPr>
      </w:pP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rPr>
      </w:pPr>
      <w:r>
        <w:rPr>
          <w:rFonts w:hint="eastAsia"/>
        </w:rPr>
        <w:t>无论选择哪种方法，实现方法都需要文档化和透明化。</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rPr>
      </w:pPr>
    </w:p>
    <w:p>
      <w:pPr>
        <w:keepNext w:val="0"/>
        <w:keepLines w:val="0"/>
        <w:pageBreakBefore w:val="0"/>
        <w:kinsoku/>
        <w:wordWrap/>
        <w:overflowPunct/>
        <w:topLinePunct w:val="0"/>
        <w:autoSpaceDE/>
        <w:autoSpaceDN/>
        <w:bidi w:val="0"/>
        <w:adjustRightInd/>
        <w:snapToGrid w:val="0"/>
        <w:spacing w:line="360" w:lineRule="auto"/>
        <w:jc w:val="center"/>
        <w:textAlignment w:val="auto"/>
        <w:rPr>
          <w:rFonts w:hint="eastAsia"/>
        </w:rPr>
      </w:pPr>
      <w:r>
        <w:rPr>
          <w:rFonts w:hint="eastAsia"/>
          <w:lang w:val="en-US" w:eastAsia="zh-CN"/>
        </w:rPr>
        <w:t xml:space="preserve">表1 </w:t>
      </w:r>
      <w:r>
        <w:rPr>
          <w:rFonts w:hint="eastAsia"/>
        </w:rPr>
        <w:t>公开</w:t>
      </w:r>
      <w:r>
        <w:rPr>
          <w:rFonts w:hint="eastAsia"/>
          <w:lang w:val="en-US" w:eastAsia="zh-CN"/>
        </w:rPr>
        <w:t>招募</w:t>
      </w:r>
      <w:r>
        <w:rPr>
          <w:rFonts w:hint="eastAsia"/>
        </w:rPr>
        <w:t>和</w:t>
      </w:r>
      <w:r>
        <w:rPr>
          <w:rFonts w:hint="eastAsia"/>
          <w:lang w:eastAsia="zh-CN"/>
        </w:rPr>
        <w:t>举荐招募</w:t>
      </w:r>
      <w:r>
        <w:rPr>
          <w:rFonts w:hint="eastAsia"/>
        </w:rPr>
        <w:t>的优缺点</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0"/>
        <w:gridCol w:w="3223"/>
        <w:gridCol w:w="3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keepNext w:val="0"/>
              <w:keepLines w:val="0"/>
              <w:pageBreakBefore w:val="0"/>
              <w:kinsoku/>
              <w:wordWrap/>
              <w:overflowPunct/>
              <w:topLinePunct w:val="0"/>
              <w:autoSpaceDE/>
              <w:autoSpaceDN/>
              <w:bidi w:val="0"/>
              <w:adjustRightInd/>
              <w:snapToGrid w:val="0"/>
              <w:spacing w:line="360" w:lineRule="auto"/>
              <w:textAlignment w:val="auto"/>
              <w:rPr>
                <w:rFonts w:hint="eastAsia"/>
                <w:vertAlign w:val="baseline"/>
              </w:rPr>
            </w:pPr>
          </w:p>
        </w:tc>
        <w:tc>
          <w:tcPr>
            <w:tcW w:w="3223" w:type="dxa"/>
          </w:tcPr>
          <w:p>
            <w:pPr>
              <w:keepNext w:val="0"/>
              <w:keepLines w:val="0"/>
              <w:pageBreakBefore w:val="0"/>
              <w:kinsoku/>
              <w:wordWrap/>
              <w:overflowPunct/>
              <w:topLinePunct w:val="0"/>
              <w:autoSpaceDE/>
              <w:autoSpaceDN/>
              <w:bidi w:val="0"/>
              <w:adjustRightInd/>
              <w:snapToGrid w:val="0"/>
              <w:spacing w:line="360" w:lineRule="auto"/>
              <w:textAlignment w:val="auto"/>
              <w:rPr>
                <w:rFonts w:hint="eastAsia" w:eastAsiaTheme="minorEastAsia"/>
                <w:vertAlign w:val="baseline"/>
                <w:lang w:val="en-US" w:eastAsia="zh-CN"/>
              </w:rPr>
            </w:pPr>
            <w:r>
              <w:rPr>
                <w:rFonts w:hint="eastAsia"/>
                <w:vertAlign w:val="baseline"/>
                <w:lang w:val="en-US" w:eastAsia="zh-CN"/>
              </w:rPr>
              <w:t>公开招募</w:t>
            </w:r>
          </w:p>
        </w:tc>
        <w:tc>
          <w:tcPr>
            <w:tcW w:w="3859" w:type="dxa"/>
          </w:tcPr>
          <w:p>
            <w:pPr>
              <w:keepNext w:val="0"/>
              <w:keepLines w:val="0"/>
              <w:pageBreakBefore w:val="0"/>
              <w:kinsoku/>
              <w:wordWrap/>
              <w:overflowPunct/>
              <w:topLinePunct w:val="0"/>
              <w:autoSpaceDE/>
              <w:autoSpaceDN/>
              <w:bidi w:val="0"/>
              <w:adjustRightInd/>
              <w:snapToGrid w:val="0"/>
              <w:spacing w:line="360" w:lineRule="auto"/>
              <w:textAlignment w:val="auto"/>
              <w:rPr>
                <w:rFonts w:hint="eastAsia" w:eastAsiaTheme="minorEastAsia"/>
                <w:vertAlign w:val="baseline"/>
                <w:lang w:val="en-US" w:eastAsia="zh-CN"/>
              </w:rPr>
            </w:pPr>
            <w:r>
              <w:rPr>
                <w:rFonts w:hint="eastAsia"/>
                <w:vertAlign w:val="baseline"/>
                <w:lang w:val="en-US" w:eastAsia="zh-CN"/>
              </w:rPr>
              <w:t>举荐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keepNext w:val="0"/>
              <w:keepLines w:val="0"/>
              <w:pageBreakBefore w:val="0"/>
              <w:kinsoku/>
              <w:wordWrap/>
              <w:overflowPunct/>
              <w:topLinePunct w:val="0"/>
              <w:autoSpaceDE/>
              <w:autoSpaceDN/>
              <w:bidi w:val="0"/>
              <w:adjustRightInd/>
              <w:snapToGrid w:val="0"/>
              <w:spacing w:line="360" w:lineRule="auto"/>
              <w:textAlignment w:val="auto"/>
              <w:rPr>
                <w:rFonts w:hint="eastAsia" w:eastAsiaTheme="minorEastAsia"/>
                <w:vertAlign w:val="baseline"/>
                <w:lang w:val="en-US" w:eastAsia="zh-CN"/>
              </w:rPr>
            </w:pPr>
            <w:r>
              <w:rPr>
                <w:rFonts w:hint="eastAsia"/>
                <w:vertAlign w:val="baseline"/>
                <w:lang w:val="en-US" w:eastAsia="zh-CN"/>
              </w:rPr>
              <w:t>优点</w:t>
            </w:r>
          </w:p>
        </w:tc>
        <w:tc>
          <w:tcPr>
            <w:tcW w:w="3223" w:type="dxa"/>
          </w:tcPr>
          <w:p>
            <w:pPr>
              <w:keepNext w:val="0"/>
              <w:keepLines w:val="0"/>
              <w:pageBreakBefore w:val="0"/>
              <w:kinsoku/>
              <w:wordWrap/>
              <w:overflowPunct/>
              <w:topLinePunct w:val="0"/>
              <w:autoSpaceDE/>
              <w:autoSpaceDN/>
              <w:bidi w:val="0"/>
              <w:adjustRightInd/>
              <w:snapToGrid w:val="0"/>
              <w:spacing w:line="360" w:lineRule="auto"/>
              <w:textAlignment w:val="auto"/>
              <w:rPr>
                <w:rFonts w:hint="default" w:eastAsiaTheme="minorEastAsia"/>
                <w:vertAlign w:val="baseline"/>
                <w:lang w:val="en-US" w:eastAsia="zh-CN"/>
              </w:rPr>
            </w:pPr>
            <w:r>
              <w:rPr>
                <w:rFonts w:hint="eastAsia"/>
                <w:vertAlign w:val="baseline"/>
              </w:rPr>
              <w:t>• 吸引更广泛的人</w:t>
            </w:r>
            <w:r>
              <w:rPr>
                <w:rFonts w:hint="eastAsia"/>
                <w:vertAlign w:val="baseline"/>
                <w:lang w:val="en-US" w:eastAsia="zh-CN"/>
              </w:rPr>
              <w:t>群参与</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vertAlign w:val="baseline"/>
                <w:lang w:val="en-US" w:eastAsia="zh-CN"/>
              </w:rPr>
            </w:pPr>
            <w:r>
              <w:rPr>
                <w:rFonts w:hint="eastAsia"/>
                <w:vertAlign w:val="baseline"/>
              </w:rPr>
              <w:t>• 通过招募</w:t>
            </w:r>
            <w:r>
              <w:rPr>
                <w:rFonts w:hint="eastAsia"/>
                <w:vertAlign w:val="baseline"/>
                <w:lang w:val="en-US" w:eastAsia="zh-CN"/>
              </w:rPr>
              <w:t>指南制定团队所不认识的人员参与可以</w:t>
            </w:r>
            <w:r>
              <w:rPr>
                <w:rFonts w:hint="eastAsia"/>
                <w:vertAlign w:val="baseline"/>
              </w:rPr>
              <w:t>减少</w:t>
            </w:r>
            <w:r>
              <w:rPr>
                <w:rFonts w:hint="eastAsia"/>
                <w:vertAlign w:val="baseline"/>
                <w:lang w:val="en-US" w:eastAsia="zh-CN"/>
              </w:rPr>
              <w:t>偏倚</w:t>
            </w:r>
            <w:r>
              <w:rPr>
                <w:rFonts w:hint="eastAsia"/>
                <w:vertAlign w:val="baseline"/>
              </w:rPr>
              <w:t>，降低了</w:t>
            </w:r>
            <w:r>
              <w:rPr>
                <w:rFonts w:hint="eastAsia"/>
                <w:vertAlign w:val="baseline"/>
                <w:lang w:val="en-US" w:eastAsia="zh-CN"/>
              </w:rPr>
              <w:t>人们</w:t>
            </w:r>
            <w:r>
              <w:rPr>
                <w:rFonts w:hint="eastAsia"/>
                <w:vertAlign w:val="baseline"/>
              </w:rPr>
              <w:t>因害怕</w:t>
            </w:r>
            <w:r>
              <w:rPr>
                <w:rFonts w:hint="eastAsia"/>
                <w:vertAlign w:val="baseline"/>
                <w:lang w:val="en-US" w:eastAsia="zh-CN"/>
              </w:rPr>
              <w:t>与</w:t>
            </w:r>
            <w:r>
              <w:rPr>
                <w:rFonts w:hint="eastAsia"/>
                <w:vertAlign w:val="baseline"/>
              </w:rPr>
              <w:t>医生意见相左而</w:t>
            </w:r>
            <w:r>
              <w:rPr>
                <w:rFonts w:hint="eastAsia"/>
                <w:vertAlign w:val="baseline"/>
                <w:lang w:val="en-US" w:eastAsia="zh-CN"/>
              </w:rPr>
              <w:t>被迫合群的可能性</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vertAlign w:val="baseline"/>
              </w:rPr>
            </w:pPr>
            <w:r>
              <w:rPr>
                <w:rFonts w:hint="eastAsia"/>
                <w:vertAlign w:val="baseline"/>
              </w:rPr>
              <w:t>• 电话面试申请</w:t>
            </w:r>
            <w:r>
              <w:rPr>
                <w:rFonts w:hint="eastAsia"/>
                <w:vertAlign w:val="baseline"/>
                <w:lang w:val="en-US" w:eastAsia="zh-CN"/>
              </w:rPr>
              <w:t>者</w:t>
            </w:r>
            <w:r>
              <w:rPr>
                <w:rFonts w:hint="eastAsia"/>
                <w:vertAlign w:val="baseline"/>
              </w:rPr>
              <w:t>有助于筛选出观点狭窄的人和那些不能反思更广泛的患者问题的人。患者和公众</w:t>
            </w:r>
            <w:r>
              <w:rPr>
                <w:rFonts w:hint="eastAsia"/>
                <w:vertAlign w:val="baseline"/>
                <w:lang w:val="en-US" w:eastAsia="zh-CN"/>
              </w:rPr>
              <w:t>参与方面的</w:t>
            </w:r>
            <w:r>
              <w:rPr>
                <w:rFonts w:hint="eastAsia"/>
                <w:vertAlign w:val="baseline"/>
              </w:rPr>
              <w:t>专家建议有助于消除不合适的申请人</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vertAlign w:val="baseline"/>
              </w:rPr>
            </w:pPr>
            <w:r>
              <w:rPr>
                <w:rFonts w:hint="eastAsia"/>
                <w:vertAlign w:val="baseline"/>
              </w:rPr>
              <w:t>•以更广阔的视野吸引人们</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vertAlign w:val="baseline"/>
              </w:rPr>
            </w:pPr>
            <w:r>
              <w:rPr>
                <w:rFonts w:hint="eastAsia"/>
                <w:vertAlign w:val="baseline"/>
              </w:rPr>
              <w:t>• 透明-可以回答为什么招募某些人</w:t>
            </w:r>
            <w:r>
              <w:rPr>
                <w:rFonts w:hint="eastAsia"/>
                <w:vertAlign w:val="baseline"/>
                <w:lang w:eastAsia="zh-CN"/>
              </w:rPr>
              <w:t>，</w:t>
            </w:r>
            <w:r>
              <w:rPr>
                <w:rFonts w:hint="eastAsia"/>
                <w:vertAlign w:val="baseline"/>
              </w:rPr>
              <w:t>并证明程序遵循平等</w:t>
            </w:r>
            <w:r>
              <w:rPr>
                <w:rFonts w:hint="eastAsia"/>
                <w:vertAlign w:val="baseline"/>
                <w:lang w:val="en-US" w:eastAsia="zh-CN"/>
              </w:rPr>
              <w:t>原则</w:t>
            </w:r>
          </w:p>
          <w:p>
            <w:pPr>
              <w:keepNext w:val="0"/>
              <w:keepLines w:val="0"/>
              <w:pageBreakBefore w:val="0"/>
              <w:kinsoku/>
              <w:wordWrap/>
              <w:overflowPunct/>
              <w:topLinePunct w:val="0"/>
              <w:autoSpaceDE/>
              <w:autoSpaceDN/>
              <w:bidi w:val="0"/>
              <w:adjustRightInd/>
              <w:snapToGrid w:val="0"/>
              <w:spacing w:line="360" w:lineRule="auto"/>
              <w:textAlignment w:val="auto"/>
              <w:rPr>
                <w:rFonts w:hint="default"/>
                <w:vertAlign w:val="baseline"/>
                <w:lang w:val="en-US" w:eastAsia="zh-CN"/>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vertAlign w:val="baseline"/>
              </w:rPr>
            </w:pPr>
          </w:p>
        </w:tc>
        <w:tc>
          <w:tcPr>
            <w:tcW w:w="3859" w:type="dxa"/>
          </w:tcPr>
          <w:p>
            <w:pPr>
              <w:keepNext w:val="0"/>
              <w:keepLines w:val="0"/>
              <w:pageBreakBefore w:val="0"/>
              <w:kinsoku/>
              <w:wordWrap/>
              <w:overflowPunct/>
              <w:topLinePunct w:val="0"/>
              <w:autoSpaceDE/>
              <w:autoSpaceDN/>
              <w:bidi w:val="0"/>
              <w:adjustRightInd/>
              <w:snapToGrid w:val="0"/>
              <w:spacing w:line="360" w:lineRule="auto"/>
              <w:textAlignment w:val="auto"/>
              <w:rPr>
                <w:rFonts w:hint="eastAsia"/>
                <w:vertAlign w:val="baseline"/>
              </w:rPr>
            </w:pPr>
            <w:r>
              <w:rPr>
                <w:rFonts w:hint="eastAsia"/>
                <w:vertAlign w:val="baseline"/>
              </w:rPr>
              <w:t>•</w:t>
            </w:r>
            <w:r>
              <w:rPr>
                <w:rFonts w:hint="eastAsia"/>
                <w:vertAlign w:val="baseline"/>
                <w:lang w:val="en-US" w:eastAsia="zh-CN"/>
              </w:rPr>
              <w:t xml:space="preserve"> </w:t>
            </w:r>
            <w:r>
              <w:rPr>
                <w:rFonts w:hint="eastAsia"/>
                <w:vertAlign w:val="baseline"/>
              </w:rPr>
              <w:t>资源要求较低</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vertAlign w:val="baseline"/>
              </w:rPr>
            </w:pPr>
            <w:r>
              <w:rPr>
                <w:rFonts w:hint="eastAsia"/>
                <w:vertAlign w:val="baseline"/>
              </w:rPr>
              <w:t>•</w:t>
            </w:r>
            <w:r>
              <w:rPr>
                <w:rFonts w:hint="eastAsia"/>
                <w:vertAlign w:val="baseline"/>
                <w:lang w:val="en-US" w:eastAsia="zh-CN"/>
              </w:rPr>
              <w:t xml:space="preserve"> </w:t>
            </w:r>
            <w:r>
              <w:rPr>
                <w:rFonts w:hint="eastAsia"/>
                <w:vertAlign w:val="baseline"/>
                <w:lang w:eastAsia="zh-CN"/>
              </w:rPr>
              <w:t>指南制定者</w:t>
            </w:r>
            <w:r>
              <w:rPr>
                <w:rFonts w:hint="eastAsia"/>
                <w:vertAlign w:val="baseline"/>
              </w:rPr>
              <w:t>对</w:t>
            </w:r>
            <w:r>
              <w:rPr>
                <w:rFonts w:hint="eastAsia"/>
                <w:vertAlign w:val="baseline"/>
                <w:lang w:val="en-US" w:eastAsia="zh-CN"/>
              </w:rPr>
              <w:t>选择组成</w:t>
            </w:r>
            <w:r>
              <w:rPr>
                <w:rFonts w:hint="eastAsia"/>
                <w:vertAlign w:val="baseline"/>
              </w:rPr>
              <w:t>成员没有影响，因此没有通过选择性</w:t>
            </w:r>
            <w:r>
              <w:rPr>
                <w:rFonts w:hint="eastAsia"/>
                <w:vertAlign w:val="baseline"/>
                <w:lang w:eastAsia="zh-CN"/>
              </w:rPr>
              <w:t>招募</w:t>
            </w:r>
            <w:r>
              <w:rPr>
                <w:rFonts w:hint="eastAsia"/>
                <w:vertAlign w:val="baseline"/>
              </w:rPr>
              <w:t>影响</w:t>
            </w:r>
            <w:r>
              <w:rPr>
                <w:rFonts w:hint="eastAsia"/>
                <w:vertAlign w:val="baseline"/>
                <w:lang w:val="en-US" w:eastAsia="zh-CN"/>
              </w:rPr>
              <w:t>团队</w:t>
            </w:r>
            <w:r>
              <w:rPr>
                <w:rFonts w:hint="eastAsia"/>
                <w:vertAlign w:val="baseline"/>
              </w:rPr>
              <w:t>构成的风险</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vertAlign w:val="baseline"/>
                <w:lang w:val="en-US" w:eastAsia="zh-CN"/>
              </w:rPr>
            </w:pPr>
            <w:r>
              <w:rPr>
                <w:rFonts w:hint="eastAsia"/>
                <w:vertAlign w:val="baseline"/>
              </w:rPr>
              <w:t>•</w:t>
            </w:r>
            <w:r>
              <w:rPr>
                <w:rFonts w:hint="eastAsia"/>
                <w:vertAlign w:val="baseline"/>
                <w:lang w:val="en-US" w:eastAsia="zh-CN"/>
              </w:rPr>
              <w:t xml:space="preserve"> 可能会增加招募您未曾考虑过的个人的可能性，因为患者组织和患者具有特定疾病特定方面的联合专业知识</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vertAlign w:val="baseline"/>
                <w:lang w:val="en-US" w:eastAsia="zh-CN"/>
              </w:rPr>
            </w:pPr>
            <w:r>
              <w:rPr>
                <w:rFonts w:hint="eastAsia"/>
                <w:vertAlign w:val="baseline"/>
                <w:lang w:val="en-US" w:eastAsia="zh-CN"/>
              </w:rPr>
              <w:t>• 在大多数情况下，由患者组织推荐的患者接受过支持患者观点的培训</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vertAlign w:val="baseline"/>
                <w:lang w:val="en-US" w:eastAsia="zh-CN"/>
              </w:rPr>
            </w:pPr>
            <w:r>
              <w:rPr>
                <w:rFonts w:hint="eastAsia"/>
                <w:vertAlign w:val="baseline"/>
                <w:lang w:val="en-US" w:eastAsia="zh-CN"/>
              </w:rPr>
              <w:t>• 可以比公开招募更快，尽管这取决于患者组织需要多长时间才能做出响应</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vertAlign w:val="baseline"/>
                <w:lang w:val="en-US" w:eastAsia="zh-CN"/>
              </w:rPr>
            </w:pPr>
            <w:r>
              <w:rPr>
                <w:rFonts w:hint="eastAsia"/>
                <w:vertAlign w:val="baseline"/>
                <w:lang w:val="en-US" w:eastAsia="zh-CN"/>
              </w:rPr>
              <w:t>• 可以招募具有用户主导的研究背景或已知在小组中工作能力良好的患者</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vertAlign w:val="baseline"/>
                <w:lang w:val="en-US" w:eastAsia="zh-CN"/>
              </w:rPr>
            </w:pPr>
            <w:r>
              <w:rPr>
                <w:rFonts w:hint="eastAsia"/>
                <w:vertAlign w:val="baseline"/>
                <w:lang w:val="en-US" w:eastAsia="zh-CN"/>
              </w:rPr>
              <w:t>• 确保患者组织决定谁最适合提供他们的观点（尊重患者自主性）</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vertAlign w:val="baseline"/>
              </w:rPr>
            </w:pPr>
            <w:r>
              <w:rPr>
                <w:rFonts w:hint="eastAsia"/>
                <w:vertAlign w:val="baseline"/>
                <w:lang w:val="en-US" w:eastAsia="zh-CN"/>
              </w:rPr>
              <w:t>•可能有助于接触很少发声的特定群体，尤其是在患者或公众参与存在障碍的情况下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keepNext w:val="0"/>
              <w:keepLines w:val="0"/>
              <w:pageBreakBefore w:val="0"/>
              <w:kinsoku/>
              <w:wordWrap/>
              <w:overflowPunct/>
              <w:topLinePunct w:val="0"/>
              <w:autoSpaceDE/>
              <w:autoSpaceDN/>
              <w:bidi w:val="0"/>
              <w:adjustRightInd/>
              <w:snapToGrid w:val="0"/>
              <w:spacing w:line="360" w:lineRule="auto"/>
              <w:textAlignment w:val="auto"/>
              <w:rPr>
                <w:rFonts w:hint="eastAsia" w:eastAsiaTheme="minorEastAsia"/>
                <w:vertAlign w:val="baseline"/>
                <w:lang w:val="en-US" w:eastAsia="zh-CN"/>
              </w:rPr>
            </w:pPr>
            <w:r>
              <w:rPr>
                <w:rFonts w:hint="eastAsia"/>
                <w:vertAlign w:val="baseline"/>
                <w:lang w:val="en-US" w:eastAsia="zh-CN"/>
              </w:rPr>
              <w:t>劣势</w:t>
            </w:r>
          </w:p>
        </w:tc>
        <w:tc>
          <w:tcPr>
            <w:tcW w:w="3223" w:type="dxa"/>
          </w:tcPr>
          <w:p>
            <w:pPr>
              <w:keepNext w:val="0"/>
              <w:keepLines w:val="0"/>
              <w:pageBreakBefore w:val="0"/>
              <w:kinsoku/>
              <w:wordWrap/>
              <w:overflowPunct/>
              <w:topLinePunct w:val="0"/>
              <w:autoSpaceDE/>
              <w:autoSpaceDN/>
              <w:bidi w:val="0"/>
              <w:adjustRightInd/>
              <w:snapToGrid w:val="0"/>
              <w:spacing w:line="360" w:lineRule="auto"/>
              <w:textAlignment w:val="auto"/>
              <w:rPr>
                <w:rFonts w:hint="eastAsia"/>
                <w:vertAlign w:val="baseline"/>
              </w:rPr>
            </w:pPr>
            <w:r>
              <w:rPr>
                <w:rFonts w:hint="eastAsia"/>
                <w:vertAlign w:val="baseline"/>
              </w:rPr>
              <w:t xml:space="preserve">• 耗时 </w:t>
            </w:r>
          </w:p>
          <w:p>
            <w:pPr>
              <w:keepNext w:val="0"/>
              <w:keepLines w:val="0"/>
              <w:pageBreakBefore w:val="0"/>
              <w:kinsoku/>
              <w:wordWrap/>
              <w:overflowPunct/>
              <w:topLinePunct w:val="0"/>
              <w:autoSpaceDE/>
              <w:autoSpaceDN/>
              <w:bidi w:val="0"/>
              <w:adjustRightInd/>
              <w:snapToGrid w:val="0"/>
              <w:spacing w:line="360" w:lineRule="auto"/>
              <w:textAlignment w:val="auto"/>
              <w:rPr>
                <w:rFonts w:hint="default" w:eastAsiaTheme="minorEastAsia"/>
                <w:vertAlign w:val="baseline"/>
                <w:lang w:val="en-US" w:eastAsia="zh-CN"/>
              </w:rPr>
            </w:pPr>
            <w:r>
              <w:rPr>
                <w:rFonts w:hint="eastAsia"/>
                <w:vertAlign w:val="baseline"/>
              </w:rPr>
              <w:t>• 广告成本，如果</w:t>
            </w:r>
            <w:r>
              <w:rPr>
                <w:rFonts w:hint="eastAsia"/>
                <w:vertAlign w:val="baseline"/>
                <w:lang w:val="en-US" w:eastAsia="zh-CN"/>
              </w:rPr>
              <w:t>需要</w:t>
            </w:r>
            <w:r>
              <w:rPr>
                <w:rFonts w:hint="eastAsia"/>
                <w:vertAlign w:val="baseline"/>
              </w:rPr>
              <w:t>支付广告投放费用</w:t>
            </w:r>
            <w:r>
              <w:rPr>
                <w:rFonts w:hint="eastAsia"/>
                <w:vertAlign w:val="baseline"/>
                <w:lang w:val="en-US" w:eastAsia="zh-CN"/>
              </w:rPr>
              <w:t>的话</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vertAlign w:val="baseline"/>
              </w:rPr>
            </w:pPr>
            <w:r>
              <w:rPr>
                <w:rFonts w:hint="eastAsia"/>
                <w:vertAlign w:val="baseline"/>
              </w:rPr>
              <w:t>• 准备和处理文书工作和应用程序的成本</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vertAlign w:val="baseline"/>
              </w:rPr>
            </w:pPr>
            <w:r>
              <w:rPr>
                <w:rFonts w:hint="eastAsia"/>
                <w:vertAlign w:val="baseline"/>
              </w:rPr>
              <w:t>• 有</w:t>
            </w:r>
            <w:r>
              <w:rPr>
                <w:rFonts w:hint="eastAsia"/>
                <w:vertAlign w:val="baseline"/>
                <w:lang w:val="en-US" w:eastAsia="zh-CN"/>
              </w:rPr>
              <w:t>偏倚</w:t>
            </w:r>
            <w:r>
              <w:rPr>
                <w:rFonts w:hint="eastAsia"/>
                <w:vertAlign w:val="baseline"/>
              </w:rPr>
              <w:t>选择的风险，即</w:t>
            </w:r>
            <w:r>
              <w:rPr>
                <w:rFonts w:hint="eastAsia"/>
                <w:vertAlign w:val="baseline"/>
                <w:lang w:val="en-US" w:eastAsia="zh-CN"/>
              </w:rPr>
              <w:t>指南制定组</w:t>
            </w:r>
            <w:r>
              <w:rPr>
                <w:rFonts w:hint="eastAsia"/>
                <w:vertAlign w:val="baseline"/>
              </w:rPr>
              <w:t>人员以"易于处理"的患者招募方式</w:t>
            </w:r>
            <w:r>
              <w:rPr>
                <w:rFonts w:hint="eastAsia"/>
                <w:vertAlign w:val="baseline"/>
                <w:lang w:val="en-US" w:eastAsia="zh-CN"/>
              </w:rPr>
              <w:t>过多</w:t>
            </w:r>
            <w:r>
              <w:rPr>
                <w:rFonts w:hint="eastAsia"/>
                <w:vertAlign w:val="baseline"/>
              </w:rPr>
              <w:t>影响</w:t>
            </w:r>
            <w:r>
              <w:rPr>
                <w:rFonts w:hint="eastAsia"/>
                <w:vertAlign w:val="baseline"/>
                <w:lang w:val="en-US" w:eastAsia="zh-CN"/>
              </w:rPr>
              <w:t>团队</w:t>
            </w:r>
            <w:r>
              <w:rPr>
                <w:rFonts w:hint="eastAsia"/>
                <w:vertAlign w:val="baseline"/>
              </w:rPr>
              <w:t>组成的风险</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vertAlign w:val="baseline"/>
              </w:rPr>
            </w:pPr>
            <w:r>
              <w:rPr>
                <w:rFonts w:hint="eastAsia"/>
                <w:vertAlign w:val="baseline"/>
              </w:rPr>
              <w:t>• 需要严格和透明的甄选过程文件，以避免</w:t>
            </w:r>
            <w:r>
              <w:rPr>
                <w:rFonts w:hint="eastAsia"/>
                <w:vertAlign w:val="baseline"/>
                <w:lang w:val="en-US" w:eastAsia="zh-CN"/>
              </w:rPr>
              <w:t>偏倚</w:t>
            </w:r>
            <w:r>
              <w:rPr>
                <w:rFonts w:hint="eastAsia"/>
                <w:vertAlign w:val="baseline"/>
              </w:rPr>
              <w:t>或选择性的风险</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eastAsiaTheme="minorEastAsia"/>
                <w:vertAlign w:val="baseline"/>
                <w:lang w:val="en-US" w:eastAsia="zh-CN"/>
              </w:rPr>
            </w:pPr>
            <w:r>
              <w:rPr>
                <w:rFonts w:hint="eastAsia"/>
                <w:vertAlign w:val="baseline"/>
              </w:rPr>
              <w:t>• 如果依靠患者组织来传播广告，这可以被视为</w:t>
            </w:r>
            <w:r>
              <w:rPr>
                <w:rFonts w:hint="eastAsia"/>
                <w:vertAlign w:val="baseline"/>
                <w:lang w:val="en-US" w:eastAsia="zh-CN"/>
              </w:rPr>
              <w:t>举荐</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vertAlign w:val="baseline"/>
              </w:rPr>
            </w:pPr>
            <w:r>
              <w:rPr>
                <w:rFonts w:hint="eastAsia"/>
                <w:vertAlign w:val="baseline"/>
              </w:rPr>
              <w:t xml:space="preserve">• </w:t>
            </w:r>
            <w:r>
              <w:rPr>
                <w:rFonts w:hint="eastAsia"/>
                <w:vertAlign w:val="baseline"/>
                <w:lang w:eastAsia="zh-CN"/>
              </w:rPr>
              <w:t>招募</w:t>
            </w:r>
            <w:r>
              <w:rPr>
                <w:rFonts w:hint="eastAsia"/>
                <w:vertAlign w:val="baseline"/>
              </w:rPr>
              <w:t>失败的风险 - 如果这种情况很少发生或受影响人口不太可能使用互联网等</w:t>
            </w:r>
            <w:r>
              <w:rPr>
                <w:rFonts w:hint="eastAsia"/>
                <w:vertAlign w:val="baseline"/>
                <w:lang w:eastAsia="zh-CN"/>
              </w:rPr>
              <w:t>招募</w:t>
            </w:r>
            <w:r>
              <w:rPr>
                <w:rFonts w:hint="eastAsia"/>
                <w:vertAlign w:val="baseline"/>
              </w:rPr>
              <w:t>渠道</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vertAlign w:val="baseline"/>
              </w:rPr>
            </w:pPr>
            <w:r>
              <w:rPr>
                <w:rFonts w:hint="eastAsia"/>
                <w:vertAlign w:val="baseline"/>
              </w:rPr>
              <w:t>• 如果组织说服弱势人群申请，且不成功，则存在道德问题</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vertAlign w:val="baseline"/>
              </w:rPr>
            </w:pPr>
          </w:p>
        </w:tc>
        <w:tc>
          <w:tcPr>
            <w:tcW w:w="3859" w:type="dxa"/>
          </w:tcPr>
          <w:p>
            <w:pPr>
              <w:keepNext w:val="0"/>
              <w:keepLines w:val="0"/>
              <w:pageBreakBefore w:val="0"/>
              <w:kinsoku/>
              <w:wordWrap/>
              <w:overflowPunct/>
              <w:topLinePunct w:val="0"/>
              <w:autoSpaceDE/>
              <w:autoSpaceDN/>
              <w:bidi w:val="0"/>
              <w:adjustRightInd/>
              <w:snapToGrid w:val="0"/>
              <w:spacing w:line="360" w:lineRule="auto"/>
              <w:textAlignment w:val="auto"/>
              <w:rPr>
                <w:rFonts w:hint="eastAsia"/>
                <w:vertAlign w:val="baseline"/>
              </w:rPr>
            </w:pPr>
            <w:r>
              <w:rPr>
                <w:rFonts w:hint="eastAsia"/>
                <w:vertAlign w:val="baseline"/>
              </w:rPr>
              <w:t>• 具有</w:t>
            </w:r>
            <w:r>
              <w:rPr>
                <w:rFonts w:hint="eastAsia"/>
                <w:vertAlign w:val="baseline"/>
                <w:lang w:val="en-US" w:eastAsia="zh-CN"/>
              </w:rPr>
              <w:t>丢失</w:t>
            </w:r>
            <w:r>
              <w:rPr>
                <w:rFonts w:hint="eastAsia"/>
                <w:vertAlign w:val="baseline"/>
              </w:rPr>
              <w:t>非常独特的专业知识和经验的人员</w:t>
            </w:r>
            <w:r>
              <w:rPr>
                <w:rFonts w:hint="eastAsia"/>
                <w:vertAlign w:val="baseline"/>
                <w:lang w:val="en-US" w:eastAsia="zh-CN"/>
              </w:rPr>
              <w:t>被招募到</w:t>
            </w:r>
            <w:r>
              <w:rPr>
                <w:rFonts w:hint="eastAsia"/>
                <w:vertAlign w:val="baseline"/>
              </w:rPr>
              <w:t>的风险</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vertAlign w:val="baseline"/>
              </w:rPr>
            </w:pPr>
            <w:r>
              <w:rPr>
                <w:rFonts w:hint="eastAsia"/>
                <w:vertAlign w:val="baseline"/>
              </w:rPr>
              <w:t>• 从患者组织</w:t>
            </w:r>
            <w:r>
              <w:rPr>
                <w:rFonts w:hint="eastAsia"/>
                <w:vertAlign w:val="baseline"/>
                <w:lang w:eastAsia="zh-CN"/>
              </w:rPr>
              <w:t>举荐</w:t>
            </w:r>
            <w:r>
              <w:rPr>
                <w:rFonts w:hint="eastAsia"/>
                <w:vertAlign w:val="baseline"/>
              </w:rPr>
              <w:t>时，可能会招募</w:t>
            </w:r>
            <w:r>
              <w:rPr>
                <w:rFonts w:hint="eastAsia"/>
                <w:vertAlign w:val="baseline"/>
                <w:lang w:val="en-US" w:eastAsia="zh-CN"/>
              </w:rPr>
              <w:t>带有偏倚</w:t>
            </w:r>
            <w:r>
              <w:rPr>
                <w:rFonts w:hint="eastAsia"/>
                <w:vertAlign w:val="baseline"/>
              </w:rPr>
              <w:t>观点的人，例如那些对医疗保健系统</w:t>
            </w:r>
            <w:r>
              <w:rPr>
                <w:rFonts w:hint="eastAsia"/>
                <w:vertAlign w:val="baseline"/>
                <w:lang w:val="en-US" w:eastAsia="zh-CN"/>
              </w:rPr>
              <w:t>只</w:t>
            </w:r>
            <w:r>
              <w:rPr>
                <w:rFonts w:hint="eastAsia"/>
                <w:vertAlign w:val="baseline"/>
              </w:rPr>
              <w:t>有过负面体验的人</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vertAlign w:val="baseline"/>
              </w:rPr>
            </w:pPr>
            <w:r>
              <w:rPr>
                <w:rFonts w:hint="eastAsia"/>
                <w:vertAlign w:val="baseline"/>
              </w:rPr>
              <w:t>•</w:t>
            </w:r>
            <w:r>
              <w:rPr>
                <w:rFonts w:hint="eastAsia"/>
                <w:vertAlign w:val="baseline"/>
                <w:lang w:val="en-US" w:eastAsia="zh-CN"/>
              </w:rPr>
              <w:t>可能会错误地</w:t>
            </w:r>
            <w:r>
              <w:rPr>
                <w:rFonts w:hint="eastAsia"/>
                <w:vertAlign w:val="baseline"/>
              </w:rPr>
              <w:t>排除没有类似工作经验，但仍可能做出宝贵贡献的患者</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vertAlign w:val="baseline"/>
                <w:lang w:val="en-US" w:eastAsia="zh-CN"/>
              </w:rPr>
            </w:pPr>
            <w:r>
              <w:rPr>
                <w:rFonts w:hint="eastAsia"/>
                <w:vertAlign w:val="baseline"/>
              </w:rPr>
              <w:t>•可能会引入</w:t>
            </w:r>
            <w:r>
              <w:rPr>
                <w:rFonts w:hint="eastAsia"/>
                <w:vertAlign w:val="baseline"/>
                <w:lang w:val="en-US" w:eastAsia="zh-CN"/>
              </w:rPr>
              <w:t>偏倚</w:t>
            </w:r>
            <w:r>
              <w:rPr>
                <w:rFonts w:hint="eastAsia"/>
                <w:vertAlign w:val="baseline"/>
              </w:rPr>
              <w:t>。在一些国家，来自患者组织的指定成员可能与教学医院、制药公司或运动组织有联系，</w:t>
            </w:r>
            <w:r>
              <w:rPr>
                <w:rFonts w:hint="eastAsia"/>
                <w:vertAlign w:val="baseline"/>
                <w:lang w:val="en-US" w:eastAsia="zh-CN"/>
              </w:rPr>
              <w:t>这些</w:t>
            </w:r>
            <w:r>
              <w:rPr>
                <w:rFonts w:hint="eastAsia"/>
                <w:vertAlign w:val="baseline"/>
              </w:rPr>
              <w:t>与农村地区或普通诊所的经验</w:t>
            </w:r>
            <w:r>
              <w:rPr>
                <w:rFonts w:hint="eastAsia"/>
                <w:vertAlign w:val="baseline"/>
                <w:lang w:val="en-US" w:eastAsia="zh-CN"/>
              </w:rPr>
              <w:t>并不相同</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vertAlign w:val="baseline"/>
              </w:rPr>
            </w:pPr>
            <w:r>
              <w:rPr>
                <w:rFonts w:hint="eastAsia"/>
                <w:vertAlign w:val="baseline"/>
              </w:rPr>
              <w:t>•如果患者</w:t>
            </w:r>
            <w:r>
              <w:rPr>
                <w:rFonts w:hint="eastAsia"/>
                <w:vertAlign w:val="baseline"/>
                <w:lang w:val="en-US" w:eastAsia="zh-CN"/>
              </w:rPr>
              <w:t>存在</w:t>
            </w:r>
            <w:r>
              <w:rPr>
                <w:rFonts w:hint="eastAsia"/>
                <w:vertAlign w:val="baseline"/>
              </w:rPr>
              <w:t>就病情的某一方面进行游说的背景，则患者视角狭窄的风险</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vertAlign w:val="baseline"/>
              </w:rPr>
            </w:pPr>
            <w:r>
              <w:rPr>
                <w:rFonts w:hint="eastAsia"/>
                <w:vertAlign w:val="baseline"/>
              </w:rPr>
              <w:t>• 对于某些</w:t>
            </w:r>
            <w:r>
              <w:rPr>
                <w:rFonts w:hint="eastAsia"/>
                <w:vertAlign w:val="baseline"/>
                <w:lang w:val="en-US" w:eastAsia="zh-CN"/>
              </w:rPr>
              <w:t>指南</w:t>
            </w:r>
            <w:r>
              <w:rPr>
                <w:rFonts w:hint="eastAsia"/>
                <w:vertAlign w:val="baseline"/>
              </w:rPr>
              <w:t>主题（例如，罕见情况或基于症状的主题），可能没有任何相关的患者组织可以</w:t>
            </w:r>
            <w:r>
              <w:rPr>
                <w:rFonts w:hint="eastAsia"/>
                <w:vertAlign w:val="baseline"/>
                <w:lang w:val="en-US" w:eastAsia="zh-CN"/>
              </w:rPr>
              <w:t>举荐</w:t>
            </w:r>
            <w:r>
              <w:rPr>
                <w:rFonts w:hint="eastAsia"/>
                <w:vertAlign w:val="baseline"/>
              </w:rPr>
              <w:t>患者</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vertAlign w:val="baseline"/>
              </w:rPr>
            </w:pPr>
            <w:r>
              <w:rPr>
                <w:rFonts w:hint="eastAsia"/>
                <w:vertAlign w:val="baseline"/>
              </w:rPr>
              <w:t>• 一些患者组织可能没有能力确定合适的被</w:t>
            </w:r>
            <w:r>
              <w:rPr>
                <w:rFonts w:hint="eastAsia"/>
                <w:vertAlign w:val="baseline"/>
                <w:lang w:val="en-US" w:eastAsia="zh-CN"/>
              </w:rPr>
              <w:t>举荐的人员</w:t>
            </w:r>
          </w:p>
        </w:tc>
      </w:tr>
    </w:tbl>
    <w:p>
      <w:pPr>
        <w:keepNext w:val="0"/>
        <w:keepLines w:val="0"/>
        <w:pageBreakBefore w:val="0"/>
        <w:kinsoku/>
        <w:wordWrap/>
        <w:overflowPunct/>
        <w:topLinePunct w:val="0"/>
        <w:autoSpaceDE/>
        <w:autoSpaceDN/>
        <w:bidi w:val="0"/>
        <w:adjustRightInd/>
        <w:snapToGrid w:val="0"/>
        <w:spacing w:line="360" w:lineRule="auto"/>
        <w:textAlignment w:val="auto"/>
        <w:rPr>
          <w:rFonts w:hint="eastAsia"/>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b/>
          <w:bCs/>
        </w:rPr>
      </w:pPr>
      <w:r>
        <w:rPr>
          <w:rFonts w:hint="eastAsia"/>
          <w:b/>
          <w:bCs/>
        </w:rPr>
        <w:t>在实践中选择</w:t>
      </w:r>
      <w:r>
        <w:rPr>
          <w:rFonts w:hint="eastAsia"/>
          <w:b/>
          <w:bCs/>
          <w:lang w:val="en-US" w:eastAsia="zh-CN"/>
        </w:rPr>
        <w:t>的</w:t>
      </w:r>
      <w:r>
        <w:rPr>
          <w:rFonts w:hint="eastAsia"/>
          <w:b/>
          <w:bCs/>
        </w:rPr>
        <w:t>方法</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lang w:val="en-US" w:eastAsia="zh-CN"/>
        </w:rPr>
      </w:pPr>
      <w:r>
        <w:rPr>
          <w:rFonts w:hint="eastAsia"/>
          <w:lang w:val="en-US" w:eastAsia="zh-CN"/>
        </w:rPr>
        <w:t>选择方法将取决于指南制定者的要求和资源。当地具体情况可能决定了哪种方法最有效。例如，在资源丰富或拥有发达患者组织的国家/地区，举荐过程可以很好地发挥作用（尤其是癌症等主要疾病领域）。公开招募对资源充足、有专科患者或公众参与支持的指南制定机构（如 NICE）非常有效</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lang w:val="en-US" w:eastAsia="zh-CN"/>
        </w:rPr>
      </w:pP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rPr>
      </w:pPr>
      <w:r>
        <w:rPr>
          <w:rFonts w:hint="eastAsia"/>
        </w:rPr>
        <w:t>NICE采用公开</w:t>
      </w:r>
      <w:r>
        <w:rPr>
          <w:rFonts w:hint="eastAsia"/>
          <w:lang w:eastAsia="zh-CN"/>
        </w:rPr>
        <w:t>招募</w:t>
      </w:r>
      <w:r>
        <w:rPr>
          <w:rFonts w:hint="eastAsia"/>
        </w:rPr>
        <w:t>，发现这会导致一系列个人</w:t>
      </w:r>
      <w:r>
        <w:rPr>
          <w:rFonts w:hint="eastAsia"/>
          <w:lang w:val="en-US" w:eastAsia="zh-CN"/>
        </w:rPr>
        <w:t>参与</w:t>
      </w:r>
      <w:r>
        <w:rPr>
          <w:rFonts w:hint="eastAsia"/>
        </w:rPr>
        <w:t>申请该职位，包括许多与患者组织无关的人。NICE</w:t>
      </w:r>
      <w:r>
        <w:rPr>
          <w:rFonts w:hint="eastAsia"/>
          <w:lang w:val="en-US" w:eastAsia="zh-CN"/>
        </w:rPr>
        <w:t>面向</w:t>
      </w:r>
      <w:r>
        <w:rPr>
          <w:rFonts w:hint="eastAsia"/>
        </w:rPr>
        <w:t>患者和公众成员宣传职位4周，从而允许患者组织有时间联系其成员，并让广告通过网站和其他社交网络获得最大曝光率。</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rPr>
      </w:pP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rPr>
      </w:pPr>
      <w:r>
        <w:rPr>
          <w:rFonts w:hint="eastAsia"/>
        </w:rPr>
        <w:t>荷兰的荷兰医疗保健改善研究所（CBO），德国的ÄZQ和苏格兰的SIGN，主要通过伞式患者组织招募，如英国的里士满慈善团体或国家之声</w:t>
      </w:r>
      <w:r>
        <w:rPr>
          <w:rFonts w:hint="eastAsia"/>
          <w:lang w:eastAsia="zh-CN"/>
        </w:rPr>
        <w:t>（</w:t>
      </w:r>
      <w:r>
        <w:rPr>
          <w:rFonts w:hint="eastAsia"/>
        </w:rPr>
        <w:t>The Richmond Group of Charities or National Voices</w:t>
      </w:r>
      <w:r>
        <w:rPr>
          <w:rFonts w:hint="eastAsia"/>
          <w:lang w:eastAsia="zh-CN"/>
        </w:rPr>
        <w:t>）</w:t>
      </w:r>
      <w:r>
        <w:rPr>
          <w:rFonts w:hint="eastAsia"/>
        </w:rPr>
        <w:t>。ÄZQ使用</w:t>
      </w:r>
      <w:r>
        <w:rPr>
          <w:rFonts w:hint="eastAsia"/>
          <w:lang w:val="en-US" w:eastAsia="zh-CN"/>
        </w:rPr>
        <w:t>事先预定的</w:t>
      </w:r>
      <w:r>
        <w:rPr>
          <w:rFonts w:hint="eastAsia"/>
          <w:lang w:eastAsia="zh-CN"/>
        </w:rPr>
        <w:t>举荐</w:t>
      </w:r>
      <w:r>
        <w:rPr>
          <w:rFonts w:hint="eastAsia"/>
        </w:rPr>
        <w:t>方法，该方法在其手册中详细概述（Sünger，2008 年）。它从4个伞式组织招募人员，以确保从广泛的候选人中</w:t>
      </w:r>
      <w:r>
        <w:rPr>
          <w:rFonts w:hint="eastAsia"/>
          <w:lang w:eastAsia="zh-CN"/>
        </w:rPr>
        <w:t>举荐</w:t>
      </w:r>
      <w:r>
        <w:rPr>
          <w:rFonts w:hint="eastAsia"/>
        </w:rPr>
        <w:t>人员。ÄZQ要求他们选择他们认为适合相关情况的所有患者组织，然后与每个组织讨论他们想要</w:t>
      </w:r>
      <w:r>
        <w:rPr>
          <w:rFonts w:hint="eastAsia"/>
          <w:lang w:eastAsia="zh-CN"/>
        </w:rPr>
        <w:t>举荐</w:t>
      </w:r>
      <w:r>
        <w:rPr>
          <w:rFonts w:hint="eastAsia"/>
        </w:rPr>
        <w:t>的患者。</w:t>
      </w:r>
      <w:r>
        <w:rPr>
          <w:rFonts w:hint="eastAsia"/>
          <w:lang w:val="en-US" w:eastAsia="zh-CN"/>
        </w:rPr>
        <w:t>由此产生指南制定组的成员名单</w:t>
      </w:r>
      <w:r>
        <w:rPr>
          <w:rFonts w:hint="eastAsia"/>
        </w:rPr>
        <w:t>，然后开始培训和支持他们。在初次会议期间，指导组被问及小组中是否缺少任何专业知识，然后</w:t>
      </w:r>
      <w:r>
        <w:rPr>
          <w:rFonts w:hint="eastAsia"/>
          <w:lang w:eastAsia="zh-CN"/>
        </w:rPr>
        <w:t>指南制定者</w:t>
      </w:r>
      <w:r>
        <w:rPr>
          <w:rFonts w:hint="eastAsia"/>
        </w:rPr>
        <w:t>寻求填补任何经验空白。</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b/>
          <w:bCs/>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eastAsiaTheme="minorEastAsia"/>
          <w:b/>
          <w:bCs/>
          <w:lang w:val="en-US" w:eastAsia="zh-CN"/>
        </w:rPr>
      </w:pPr>
      <w:r>
        <w:rPr>
          <w:rFonts w:hint="eastAsia"/>
          <w:b/>
          <w:bCs/>
        </w:rPr>
        <w:t>广告</w:t>
      </w:r>
      <w:r>
        <w:rPr>
          <w:rFonts w:hint="eastAsia"/>
          <w:b/>
          <w:bCs/>
          <w:lang w:val="en-US" w:eastAsia="zh-CN"/>
        </w:rPr>
        <w:t>职位</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rPr>
      </w:pPr>
      <w:r>
        <w:rPr>
          <w:rFonts w:hint="eastAsia"/>
        </w:rPr>
        <w:t>当患者组织或具有公共参与职能的医疗保健专业组织可以通过社交媒体、电子邮件分发或</w:t>
      </w:r>
      <w:r>
        <w:rPr>
          <w:rFonts w:hint="eastAsia"/>
          <w:lang w:val="en-US" w:eastAsia="zh-CN"/>
        </w:rPr>
        <w:t>即时</w:t>
      </w:r>
      <w:r>
        <w:rPr>
          <w:rFonts w:hint="eastAsia"/>
        </w:rPr>
        <w:t>通讯</w:t>
      </w:r>
      <w:r>
        <w:rPr>
          <w:rFonts w:hint="eastAsia"/>
          <w:lang w:val="en-US" w:eastAsia="zh-CN"/>
        </w:rPr>
        <w:t>途径</w:t>
      </w:r>
      <w:r>
        <w:rPr>
          <w:rFonts w:hint="eastAsia"/>
        </w:rPr>
        <w:t>在其网站上宣传空缺通知其成员时，公开</w:t>
      </w:r>
      <w:r>
        <w:rPr>
          <w:rFonts w:hint="eastAsia"/>
          <w:lang w:eastAsia="zh-CN"/>
        </w:rPr>
        <w:t>招募</w:t>
      </w:r>
      <w:r>
        <w:rPr>
          <w:rFonts w:hint="eastAsia"/>
        </w:rPr>
        <w:t>效果最好。患者组织还可以就如何从</w:t>
      </w:r>
      <w:r>
        <w:rPr>
          <w:rFonts w:hint="eastAsia"/>
          <w:lang w:val="en-US" w:eastAsia="zh-CN"/>
        </w:rPr>
        <w:t>弱势群体</w:t>
      </w:r>
      <w:r>
        <w:rPr>
          <w:rFonts w:hint="eastAsia"/>
        </w:rPr>
        <w:t>中招募人员提供建议。</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rPr>
      </w:pP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lang w:val="en-US" w:eastAsia="zh-CN"/>
        </w:rPr>
      </w:pPr>
      <w:r>
        <w:rPr>
          <w:rFonts w:hint="eastAsia"/>
          <w:lang w:val="en-US" w:eastAsia="zh-CN"/>
        </w:rPr>
        <w:t>指南制定组中的医疗保健专业人员也可以通过网络或举荐患者来支持招募。但是，这会增加在小组中招募由同一卫生专业人员治疗的患者或公共成员的可能性。这是应当避免的，因为它可可能会阻止患者在讨论期间自由发言。</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lang w:val="en-US" w:eastAsia="zh-CN"/>
        </w:rPr>
      </w:pP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lang w:val="en-US" w:eastAsia="zh-CN"/>
        </w:rPr>
      </w:pPr>
      <w:r>
        <w:rPr>
          <w:rFonts w:hint="eastAsia"/>
          <w:lang w:val="en-US" w:eastAsia="zh-CN"/>
        </w:rPr>
        <w:t>如果使用社交媒体做广告，指南制定者可以通过在任何社交媒体帖子中"标记"相关患者组织来吸引更多投资于指导主题的受众。指南制定者可以在 Twitter、Facebook 或患者论坛上参与</w:t>
      </w:r>
      <w:bookmarkStart w:id="0" w:name="OLE_LINK1"/>
      <w:r>
        <w:rPr>
          <w:rFonts w:hint="eastAsia"/>
          <w:lang w:val="en-US" w:eastAsia="zh-CN"/>
        </w:rPr>
        <w:t>发声较少</w:t>
      </w:r>
      <w:bookmarkEnd w:id="0"/>
      <w:r>
        <w:rPr>
          <w:rFonts w:hint="eastAsia"/>
          <w:lang w:val="en-US" w:eastAsia="zh-CN"/>
        </w:rPr>
        <w:t>的群体，如黑人、亚裔和少数民族群体 （BAME）。在分享任何招募机会之前，应获得相关许可。开始与对招募表现出兴趣的公众成员进行在线对话，解决出现的任何问题或疑问，并以此来增加申请量。这种方法相对经济有效，但需要时间与公众建立在线关系。不是每个人都能轻易上网，因此仍应采用其他方法公布招募信息，以减少招募过程中的不平等。如果发声较少的团体在一种形式的社交媒体（例如Twitter）上不活跃，那么他们可能在另一个频道（如Facebook）上更活跃。否则，将很难通过这种方式与他们接触。</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lang w:val="en-US" w:eastAsia="zh-CN"/>
        </w:rPr>
      </w:pP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lang w:val="en-US" w:eastAsia="zh-CN"/>
        </w:rPr>
      </w:pPr>
      <w:r>
        <w:rPr>
          <w:rFonts w:hint="eastAsia"/>
          <w:lang w:val="en-US" w:eastAsia="zh-CN"/>
        </w:rPr>
        <w:t>在宣传该职位时，明确说明个人可以获得的支持和帮助类型，以鼓励更多人申请。这应该是现实的和可交付的实践。关于“支持个别患者和公众成员”的章节描述了可提供的支持类型。</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b/>
          <w:bCs/>
          <w:lang w:val="en-US" w:eastAsia="zh-CN"/>
        </w:rPr>
      </w:pPr>
    </w:p>
    <w:p>
      <w:pPr>
        <w:keepNext w:val="0"/>
        <w:keepLines w:val="0"/>
        <w:pageBreakBefore w:val="0"/>
        <w:kinsoku/>
        <w:wordWrap/>
        <w:overflowPunct/>
        <w:topLinePunct w:val="0"/>
        <w:autoSpaceDE/>
        <w:autoSpaceDN/>
        <w:bidi w:val="0"/>
        <w:adjustRightInd/>
        <w:snapToGrid w:val="0"/>
        <w:spacing w:line="360" w:lineRule="auto"/>
        <w:textAlignment w:val="auto"/>
        <w:rPr>
          <w:rFonts w:hint="default"/>
          <w:b/>
          <w:bCs/>
          <w:lang w:val="en-US" w:eastAsia="zh-CN"/>
        </w:rPr>
      </w:pPr>
      <w:r>
        <w:rPr>
          <w:rFonts w:hint="eastAsia"/>
          <w:b/>
          <w:bCs/>
          <w:lang w:val="en-US" w:eastAsia="zh-CN"/>
        </w:rPr>
        <w:t>招募文件</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lang w:val="en-US" w:eastAsia="zh-CN"/>
        </w:rPr>
      </w:pPr>
      <w:r>
        <w:rPr>
          <w:rFonts w:hint="eastAsia"/>
          <w:lang w:val="en-US" w:eastAsia="zh-CN"/>
        </w:rPr>
        <w:t>发布职位和任职资格要求（公开和举荐的招募方法）或作为详细广告或作为补充信息，以帮助申请人决定是否适合该职位，这很有帮助。个人的申请或举荐信息表格应结构完整，便于市民提供有关资料。NICE还根据英国《平等法2010》（Equality Act 2010）为申请人提供了平等监测表。有关此行为的指导可在下一步阅读的部分找到。该表格收集个人信息，如年龄和性别，并可用于评估和审查成员的多样性。应当把该表单与主申请表分开处理，以确保匿名。</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lang w:val="en-US" w:eastAsia="zh-CN"/>
        </w:rPr>
      </w:pP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lang w:val="en-US" w:eastAsia="zh-CN"/>
        </w:rPr>
      </w:pPr>
      <w:r>
        <w:rPr>
          <w:rFonts w:hint="eastAsia"/>
          <w:lang w:val="en-US" w:eastAsia="zh-CN"/>
        </w:rPr>
        <w:t>为了让各种残疾人能够申请（例如视力障碍者），指南制定者需要考虑其信息的可访问性，例如确保使用屏幕读取器阅读文档。指南制定人员应检索政府或组织关于可访问性的指南以获取更多信息。</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b/>
          <w:bCs/>
          <w:lang w:val="en-US" w:eastAsia="zh-CN"/>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b/>
          <w:bCs/>
          <w:lang w:val="en-US" w:eastAsia="zh-CN"/>
        </w:rPr>
      </w:pPr>
      <w:r>
        <w:rPr>
          <w:rFonts w:hint="eastAsia"/>
          <w:b/>
          <w:bCs/>
          <w:lang w:val="en-US" w:eastAsia="zh-CN"/>
        </w:rPr>
        <w:t>公开招募后面试应聘者</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lang w:val="en-US" w:eastAsia="zh-CN"/>
        </w:rPr>
      </w:pPr>
      <w:r>
        <w:rPr>
          <w:rFonts w:hint="eastAsia"/>
          <w:lang w:val="en-US" w:eastAsia="zh-CN"/>
        </w:rPr>
        <w:t>公开招募后面试应聘者有助于跨越一些已知的妨碍患者和公众有效参与的障碍。这包括对技能、经验广度和对经验进行反思的能力，以保证客观地审查证据，或在团队中批判性地工作。那些只有负面护理经历的人，或反对循证护理方法的人，可能不是合适的候选人。指南制定组应该考虑如何采访有特定健康状况或残疾的人，或全职工作的人。如果有些人不能参加面对面的面试，电话或视频会议(例如，Skype或Zoom)是很有用的替代方法。小组面试也可以帮助评估沟通和团队工作技能。</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b/>
          <w:bCs/>
          <w:lang w:val="en-US" w:eastAsia="zh-CN"/>
        </w:rPr>
      </w:pPr>
    </w:p>
    <w:p>
      <w:pPr>
        <w:keepNext w:val="0"/>
        <w:keepLines w:val="0"/>
        <w:pageBreakBefore w:val="0"/>
        <w:kinsoku/>
        <w:wordWrap/>
        <w:overflowPunct/>
        <w:topLinePunct w:val="0"/>
        <w:autoSpaceDE/>
        <w:autoSpaceDN/>
        <w:bidi w:val="0"/>
        <w:adjustRightInd/>
        <w:snapToGrid w:val="0"/>
        <w:spacing w:line="360" w:lineRule="auto"/>
        <w:textAlignment w:val="auto"/>
        <w:rPr>
          <w:rFonts w:hint="default"/>
          <w:b/>
          <w:bCs/>
          <w:lang w:val="en-US" w:eastAsia="zh-CN"/>
        </w:rPr>
      </w:pPr>
      <w:r>
        <w:rPr>
          <w:rFonts w:hint="eastAsia"/>
          <w:b/>
          <w:bCs/>
          <w:lang w:val="en-US" w:eastAsia="zh-CN"/>
        </w:rPr>
        <w:t>预约时间</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lang w:val="en-US" w:eastAsia="zh-CN"/>
        </w:rPr>
      </w:pPr>
      <w:r>
        <w:rPr>
          <w:rFonts w:hint="eastAsia"/>
          <w:lang w:val="en-US" w:eastAsia="zh-CN"/>
        </w:rPr>
        <w:t>应征者应以书面形式通知。考虑他们是否应该填写一份利益声明表，以确定可能的冲突，以及一份合同。有些机构会在面试阶段指定候补成员，以防候补成员因情况改变而不能担任该职位。但是，在某些情况下，重新宣传或者获得新的举荐可能会更好。</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lang w:val="en-US" w:eastAsia="zh-CN"/>
        </w:rPr>
      </w:pP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lang w:val="en-US" w:eastAsia="zh-CN"/>
        </w:rPr>
      </w:pPr>
      <w:r>
        <w:rPr>
          <w:rFonts w:hint="eastAsia"/>
          <w:lang w:val="en-US" w:eastAsia="zh-CN"/>
        </w:rPr>
        <w:t>同样重要的是要确保招募过程是公平的，并记录招募过程，包括招募的理由，以避免任何关于歧视行为的潜在指控。不成功的候选人可以得到其他参与的机会，比如成为同行评审。候选人应该有一个指定的联系人和详细信息，这样指南制定者就可以知道与谁联系，以便获得进一步的信息，或者讨论他们的申请或面试结果。</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b/>
          <w:bCs/>
          <w:lang w:val="en-US" w:eastAsia="zh-CN"/>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b/>
          <w:bCs/>
          <w:lang w:val="en-US" w:eastAsia="zh-CN"/>
        </w:rPr>
      </w:pPr>
      <w:r>
        <w:rPr>
          <w:rFonts w:hint="eastAsia"/>
          <w:b/>
          <w:bCs/>
          <w:sz w:val="24"/>
          <w:szCs w:val="32"/>
          <w:lang w:val="en-US" w:eastAsia="zh-CN"/>
        </w:rPr>
        <w:t xml:space="preserve">第二部分 </w:t>
      </w:r>
      <w:r>
        <w:rPr>
          <w:rFonts w:hint="eastAsia"/>
          <w:b/>
          <w:bCs/>
          <w:lang w:val="en-US" w:eastAsia="zh-CN"/>
        </w:rPr>
        <w:t>支持患者个人和公众成员</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lang w:val="en-US" w:eastAsia="zh-CN"/>
        </w:rPr>
      </w:pPr>
      <w:r>
        <w:rPr>
          <w:rFonts w:hint="eastAsia"/>
          <w:lang w:val="en-US" w:eastAsia="zh-CN"/>
        </w:rPr>
        <w:t>在指南制定过程中，适当和充分的支持策略在克服障碍和促进患者和公众有效的参与方面发挥着重要作用。Armstrong等人（2017a）认为，这些因素包括:</w:t>
      </w:r>
    </w:p>
    <w:p>
      <w:pPr>
        <w:keepNext w:val="0"/>
        <w:keepLines w:val="0"/>
        <w:pageBreakBefore w:val="0"/>
        <w:numPr>
          <w:ilvl w:val="0"/>
          <w:numId w:val="7"/>
        </w:numPr>
        <w:kinsoku/>
        <w:wordWrap/>
        <w:overflowPunct/>
        <w:topLinePunct w:val="0"/>
        <w:autoSpaceDE/>
        <w:autoSpaceDN/>
        <w:bidi w:val="0"/>
        <w:adjustRightInd/>
        <w:snapToGrid w:val="0"/>
        <w:spacing w:line="360" w:lineRule="auto"/>
        <w:ind w:left="93" w:leftChars="0" w:hanging="93" w:firstLineChars="0"/>
        <w:textAlignment w:val="auto"/>
        <w:rPr>
          <w:rFonts w:hint="eastAsia"/>
          <w:lang w:val="en-US" w:eastAsia="zh-CN"/>
        </w:rPr>
      </w:pPr>
      <w:r>
        <w:rPr>
          <w:rFonts w:hint="eastAsia"/>
          <w:lang w:val="en-US" w:eastAsia="zh-CN"/>
        </w:rPr>
        <w:t>实践支持（例如，做出合理调整以支持生病或残疾的人）</w:t>
      </w:r>
    </w:p>
    <w:p>
      <w:pPr>
        <w:keepNext w:val="0"/>
        <w:keepLines w:val="0"/>
        <w:pageBreakBefore w:val="0"/>
        <w:numPr>
          <w:ilvl w:val="0"/>
          <w:numId w:val="7"/>
        </w:numPr>
        <w:kinsoku/>
        <w:wordWrap/>
        <w:overflowPunct/>
        <w:topLinePunct w:val="0"/>
        <w:autoSpaceDE/>
        <w:autoSpaceDN/>
        <w:bidi w:val="0"/>
        <w:adjustRightInd/>
        <w:snapToGrid w:val="0"/>
        <w:spacing w:line="360" w:lineRule="auto"/>
        <w:ind w:left="93" w:leftChars="0" w:hanging="93" w:firstLineChars="0"/>
        <w:textAlignment w:val="auto"/>
        <w:rPr>
          <w:rFonts w:hint="eastAsia"/>
          <w:lang w:val="en-US" w:eastAsia="zh-CN"/>
        </w:rPr>
      </w:pPr>
      <w:r>
        <w:rPr>
          <w:rFonts w:hint="eastAsia"/>
          <w:lang w:val="en-US" w:eastAsia="zh-CN"/>
        </w:rPr>
        <w:t>非正式支持（例如，倾听、建议和情感支持）</w:t>
      </w:r>
    </w:p>
    <w:p>
      <w:pPr>
        <w:keepNext w:val="0"/>
        <w:keepLines w:val="0"/>
        <w:pageBreakBefore w:val="0"/>
        <w:numPr>
          <w:ilvl w:val="0"/>
          <w:numId w:val="7"/>
        </w:numPr>
        <w:kinsoku/>
        <w:wordWrap/>
        <w:overflowPunct/>
        <w:topLinePunct w:val="0"/>
        <w:autoSpaceDE/>
        <w:autoSpaceDN/>
        <w:bidi w:val="0"/>
        <w:adjustRightInd/>
        <w:snapToGrid w:val="0"/>
        <w:spacing w:line="360" w:lineRule="auto"/>
        <w:ind w:left="93" w:leftChars="0" w:hanging="93" w:firstLineChars="0"/>
        <w:textAlignment w:val="auto"/>
        <w:rPr>
          <w:rFonts w:hint="eastAsia"/>
          <w:lang w:val="en-US" w:eastAsia="zh-CN"/>
        </w:rPr>
      </w:pPr>
      <w:r>
        <w:rPr>
          <w:rFonts w:hint="eastAsia"/>
          <w:lang w:val="en-US" w:eastAsia="zh-CN"/>
        </w:rPr>
        <w:t>经济补偿</w:t>
      </w:r>
    </w:p>
    <w:p>
      <w:pPr>
        <w:keepNext w:val="0"/>
        <w:keepLines w:val="0"/>
        <w:pageBreakBefore w:val="0"/>
        <w:numPr>
          <w:ilvl w:val="0"/>
          <w:numId w:val="7"/>
        </w:numPr>
        <w:kinsoku/>
        <w:wordWrap/>
        <w:overflowPunct/>
        <w:topLinePunct w:val="0"/>
        <w:autoSpaceDE/>
        <w:autoSpaceDN/>
        <w:bidi w:val="0"/>
        <w:adjustRightInd/>
        <w:snapToGrid w:val="0"/>
        <w:spacing w:line="360" w:lineRule="auto"/>
        <w:ind w:left="93" w:leftChars="0" w:hanging="93" w:firstLineChars="0"/>
        <w:textAlignment w:val="auto"/>
        <w:rPr>
          <w:rFonts w:hint="eastAsia"/>
          <w:lang w:val="en-US" w:eastAsia="zh-CN"/>
        </w:rPr>
      </w:pPr>
      <w:r>
        <w:rPr>
          <w:rFonts w:hint="eastAsia"/>
          <w:lang w:val="en-US" w:eastAsia="zh-CN"/>
        </w:rPr>
        <w:t>合作学习和培训</w:t>
      </w:r>
    </w:p>
    <w:p>
      <w:pPr>
        <w:keepNext w:val="0"/>
        <w:keepLines w:val="0"/>
        <w:pageBreakBefore w:val="0"/>
        <w:numPr>
          <w:ilvl w:val="0"/>
          <w:numId w:val="7"/>
        </w:numPr>
        <w:kinsoku/>
        <w:wordWrap/>
        <w:overflowPunct/>
        <w:topLinePunct w:val="0"/>
        <w:autoSpaceDE/>
        <w:autoSpaceDN/>
        <w:bidi w:val="0"/>
        <w:adjustRightInd/>
        <w:snapToGrid w:val="0"/>
        <w:spacing w:line="360" w:lineRule="auto"/>
        <w:ind w:left="93" w:leftChars="0" w:hanging="93" w:firstLineChars="0"/>
        <w:textAlignment w:val="auto"/>
        <w:rPr>
          <w:rFonts w:hint="eastAsia"/>
          <w:lang w:val="en-US" w:eastAsia="zh-CN"/>
        </w:rPr>
      </w:pPr>
      <w:r>
        <w:rPr>
          <w:rFonts w:hint="eastAsia"/>
          <w:lang w:val="en-US" w:eastAsia="zh-CN"/>
        </w:rPr>
        <w:t xml:space="preserve">管理小组动态 </w:t>
      </w:r>
    </w:p>
    <w:p>
      <w:pPr>
        <w:keepNext w:val="0"/>
        <w:keepLines w:val="0"/>
        <w:pageBreakBefore w:val="0"/>
        <w:numPr>
          <w:ilvl w:val="0"/>
          <w:numId w:val="7"/>
        </w:numPr>
        <w:kinsoku/>
        <w:wordWrap/>
        <w:overflowPunct/>
        <w:topLinePunct w:val="0"/>
        <w:autoSpaceDE/>
        <w:autoSpaceDN/>
        <w:bidi w:val="0"/>
        <w:adjustRightInd/>
        <w:snapToGrid w:val="0"/>
        <w:spacing w:line="360" w:lineRule="auto"/>
        <w:ind w:left="93" w:leftChars="0" w:hanging="93" w:firstLineChars="0"/>
        <w:textAlignment w:val="auto"/>
        <w:rPr>
          <w:rFonts w:hint="eastAsia"/>
          <w:lang w:val="en-US" w:eastAsia="zh-CN"/>
        </w:rPr>
      </w:pPr>
      <w:r>
        <w:rPr>
          <w:rFonts w:hint="eastAsia"/>
          <w:lang w:val="en-US" w:eastAsia="zh-CN"/>
        </w:rPr>
        <w:t>实现对患者或公众成员角色的重新评估和反馈</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b/>
          <w:bCs/>
          <w:lang w:val="en-US" w:eastAsia="zh-CN"/>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b/>
          <w:bCs/>
          <w:lang w:val="en-US" w:eastAsia="zh-CN"/>
        </w:rPr>
      </w:pPr>
      <w:r>
        <w:rPr>
          <w:rFonts w:hint="eastAsia"/>
          <w:b/>
          <w:bCs/>
          <w:lang w:val="en-US" w:eastAsia="zh-CN"/>
        </w:rPr>
        <w:t>实践支持</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lang w:val="en-US" w:eastAsia="zh-CN"/>
        </w:rPr>
      </w:pPr>
      <w:r>
        <w:rPr>
          <w:rFonts w:hint="eastAsia"/>
          <w:lang w:val="en-US" w:eastAsia="zh-CN"/>
        </w:rPr>
        <w:t>定性研究表明，实践支持可以包括提供多次较短的会议，而不是全天会议，在会议前及时提供会议前文件，提供实体资料（例如文件的纸质版本），以及商定征求意见达成一致的机制（Armstrong et al. 2017a）。然而，个人可能会有各种与其工作相关的实践支持性需求，因此应做出“合理调整”的规定以尊重这些需求。这可能包括改变小组会议的物理环境（例如，无障碍的房间环境）。应该考虑如何召开会议（例如，在虚拟会议中使用听力回路感应系统或制图技术），以及小组中使用的沟通方式（例如，避免术语和头衔，如医生，解释医学和研究术语，并同意合适的沟通方式，如使用电子邮件）。如果一个人的状况影响他们的注意力（比如那些有疼痛或精神健康问题的人），则可能需要调整会议的时间，并增加休息时间。对于患有糖尿病或其他受饮食影响的患者，也应考虑他们的饮食要求。如果通过电话或视频会议进行虚拟会议，请提供定期休息时间。</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b/>
          <w:bCs/>
          <w:lang w:val="en-US" w:eastAsia="zh-CN"/>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b/>
          <w:bCs/>
          <w:lang w:val="en-US" w:eastAsia="zh-CN"/>
        </w:rPr>
      </w:pPr>
      <w:r>
        <w:rPr>
          <w:rFonts w:hint="eastAsia"/>
          <w:b/>
          <w:bCs/>
          <w:lang w:val="en-US" w:eastAsia="zh-CN"/>
        </w:rPr>
        <w:t>何时评估支持需求</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lang w:val="en-US" w:eastAsia="zh-CN"/>
        </w:rPr>
      </w:pPr>
      <w:r>
        <w:rPr>
          <w:rFonts w:hint="eastAsia"/>
          <w:lang w:val="en-US" w:eastAsia="zh-CN"/>
        </w:rPr>
        <w:t>患者和公众成员应该有机会在面谈、约定和整个工作过程中讨论他们的实践支持需求。这是因为许多人身体和精神健康状况会发生变化，并在指南制定过程中可能会产生其他需求。在一些国家，关于残疾歧视或平等的法律涵盖提供实践支持的各个方面。例如，安大略省的《安大略省残疾人士通行法案》（Thompson 2020）概述并执行了开发商为消除障碍而需要遵循的残障通行标准。这可能包括根据要求提供可供访问的格式。</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b/>
          <w:bCs/>
          <w:lang w:val="en-US" w:eastAsia="zh-CN"/>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b/>
          <w:bCs/>
          <w:lang w:val="en-US" w:eastAsia="zh-CN"/>
        </w:rPr>
      </w:pPr>
      <w:r>
        <w:rPr>
          <w:rFonts w:hint="eastAsia"/>
          <w:b/>
          <w:bCs/>
          <w:lang w:val="en-US" w:eastAsia="zh-CN"/>
        </w:rPr>
        <w:t>实践支持示例</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lang w:val="en-US" w:eastAsia="zh-CN"/>
        </w:rPr>
      </w:pPr>
      <w:r>
        <w:rPr>
          <w:rFonts w:hint="eastAsia"/>
          <w:lang w:val="en-US" w:eastAsia="zh-CN"/>
        </w:rPr>
        <w:t>指南制定者可以考虑并提供许多实践支持的例子，包括（但不限于）：</w:t>
      </w:r>
    </w:p>
    <w:p>
      <w:pPr>
        <w:keepNext w:val="0"/>
        <w:keepLines w:val="0"/>
        <w:pageBreakBefore w:val="0"/>
        <w:numPr>
          <w:ilvl w:val="0"/>
          <w:numId w:val="7"/>
        </w:numPr>
        <w:kinsoku/>
        <w:wordWrap/>
        <w:overflowPunct/>
        <w:topLinePunct w:val="0"/>
        <w:autoSpaceDE/>
        <w:autoSpaceDN/>
        <w:bidi w:val="0"/>
        <w:adjustRightInd/>
        <w:snapToGrid w:val="0"/>
        <w:spacing w:line="360" w:lineRule="auto"/>
        <w:ind w:left="93" w:leftChars="0" w:hanging="93" w:firstLineChars="0"/>
        <w:textAlignment w:val="auto"/>
        <w:rPr>
          <w:rFonts w:hint="eastAsia"/>
          <w:lang w:val="en-US" w:eastAsia="zh-CN"/>
        </w:rPr>
      </w:pPr>
      <w:r>
        <w:rPr>
          <w:rFonts w:hint="eastAsia"/>
          <w:lang w:val="en-US" w:eastAsia="zh-CN"/>
        </w:rPr>
        <w:t>为有感官障碍的人进行调整，如提供大型打印文档、会议中的麦克风或听力感应回路系统。口译员可以参加指南会议以帮助有听力障碍的成员。</w:t>
      </w:r>
    </w:p>
    <w:p>
      <w:pPr>
        <w:keepNext w:val="0"/>
        <w:keepLines w:val="0"/>
        <w:pageBreakBefore w:val="0"/>
        <w:numPr>
          <w:ilvl w:val="0"/>
          <w:numId w:val="7"/>
        </w:numPr>
        <w:kinsoku/>
        <w:wordWrap/>
        <w:overflowPunct/>
        <w:topLinePunct w:val="0"/>
        <w:autoSpaceDE/>
        <w:autoSpaceDN/>
        <w:bidi w:val="0"/>
        <w:adjustRightInd/>
        <w:snapToGrid w:val="0"/>
        <w:spacing w:line="360" w:lineRule="auto"/>
        <w:ind w:left="93" w:leftChars="0" w:hanging="93" w:firstLineChars="0"/>
        <w:textAlignment w:val="auto"/>
        <w:rPr>
          <w:rFonts w:hint="eastAsia"/>
          <w:lang w:val="en-US" w:eastAsia="zh-CN"/>
        </w:rPr>
      </w:pPr>
      <w:r>
        <w:rPr>
          <w:rFonts w:hint="eastAsia"/>
          <w:lang w:val="en-US" w:eastAsia="zh-CN"/>
        </w:rPr>
        <w:t>提供通过视频通话虚拟参与的机会（针对患有严重疾病，如晚期心力衰竭，或无法亲自参加会议的人）。</w:t>
      </w:r>
    </w:p>
    <w:p>
      <w:pPr>
        <w:keepNext w:val="0"/>
        <w:keepLines w:val="0"/>
        <w:pageBreakBefore w:val="0"/>
        <w:numPr>
          <w:ilvl w:val="0"/>
          <w:numId w:val="7"/>
        </w:numPr>
        <w:kinsoku/>
        <w:wordWrap/>
        <w:overflowPunct/>
        <w:topLinePunct w:val="0"/>
        <w:autoSpaceDE/>
        <w:autoSpaceDN/>
        <w:bidi w:val="0"/>
        <w:adjustRightInd/>
        <w:snapToGrid w:val="0"/>
        <w:spacing w:line="360" w:lineRule="auto"/>
        <w:ind w:left="93" w:leftChars="0" w:hanging="93" w:firstLineChars="0"/>
        <w:textAlignment w:val="auto"/>
        <w:rPr>
          <w:rFonts w:hint="eastAsia"/>
          <w:lang w:val="en-US" w:eastAsia="zh-CN"/>
        </w:rPr>
      </w:pPr>
      <w:r>
        <w:rPr>
          <w:rFonts w:hint="eastAsia"/>
          <w:lang w:val="en-US" w:eastAsia="zh-CN"/>
        </w:rPr>
        <w:t>提供在虚拟会议中发挥作用的提示和技巧，例如不说话时保持沉默，以及引起主席注意力的方法。</w:t>
      </w:r>
    </w:p>
    <w:p>
      <w:pPr>
        <w:keepNext w:val="0"/>
        <w:keepLines w:val="0"/>
        <w:pageBreakBefore w:val="0"/>
        <w:numPr>
          <w:ilvl w:val="0"/>
          <w:numId w:val="7"/>
        </w:numPr>
        <w:kinsoku/>
        <w:wordWrap/>
        <w:overflowPunct/>
        <w:topLinePunct w:val="0"/>
        <w:autoSpaceDE/>
        <w:autoSpaceDN/>
        <w:bidi w:val="0"/>
        <w:adjustRightInd/>
        <w:snapToGrid w:val="0"/>
        <w:spacing w:line="360" w:lineRule="auto"/>
        <w:ind w:left="93" w:leftChars="0" w:hanging="93" w:firstLineChars="0"/>
        <w:textAlignment w:val="auto"/>
        <w:rPr>
          <w:rFonts w:hint="eastAsia"/>
          <w:lang w:val="en-US" w:eastAsia="zh-CN"/>
        </w:rPr>
      </w:pPr>
      <w:r>
        <w:rPr>
          <w:rFonts w:hint="eastAsia"/>
          <w:lang w:val="en-US" w:eastAsia="zh-CN"/>
        </w:rPr>
        <w:t>预订足够大的会议室，以容纳电动轮椅或其他医疗设备以及无楼梯通道。</w:t>
      </w:r>
    </w:p>
    <w:p>
      <w:pPr>
        <w:keepNext w:val="0"/>
        <w:keepLines w:val="0"/>
        <w:pageBreakBefore w:val="0"/>
        <w:numPr>
          <w:ilvl w:val="0"/>
          <w:numId w:val="7"/>
        </w:numPr>
        <w:kinsoku/>
        <w:wordWrap/>
        <w:overflowPunct/>
        <w:topLinePunct w:val="0"/>
        <w:autoSpaceDE/>
        <w:autoSpaceDN/>
        <w:bidi w:val="0"/>
        <w:adjustRightInd/>
        <w:snapToGrid w:val="0"/>
        <w:spacing w:line="360" w:lineRule="auto"/>
        <w:ind w:left="93" w:leftChars="0" w:hanging="93" w:firstLineChars="0"/>
        <w:textAlignment w:val="auto"/>
        <w:rPr>
          <w:rFonts w:hint="eastAsia"/>
          <w:lang w:val="en-US" w:eastAsia="zh-CN"/>
        </w:rPr>
      </w:pPr>
      <w:r>
        <w:rPr>
          <w:rFonts w:hint="eastAsia"/>
          <w:lang w:val="en-US" w:eastAsia="zh-CN"/>
        </w:rPr>
        <w:t>为经历疲劳的人进行调整，如延长休息时间或提供一个可供人们休息的房间。</w:t>
      </w:r>
    </w:p>
    <w:p>
      <w:pPr>
        <w:keepNext w:val="0"/>
        <w:keepLines w:val="0"/>
        <w:pageBreakBefore w:val="0"/>
        <w:numPr>
          <w:ilvl w:val="0"/>
          <w:numId w:val="7"/>
        </w:numPr>
        <w:kinsoku/>
        <w:wordWrap/>
        <w:overflowPunct/>
        <w:topLinePunct w:val="0"/>
        <w:autoSpaceDE/>
        <w:autoSpaceDN/>
        <w:bidi w:val="0"/>
        <w:adjustRightInd/>
        <w:snapToGrid w:val="0"/>
        <w:spacing w:line="360" w:lineRule="auto"/>
        <w:ind w:left="93" w:leftChars="0" w:hanging="93" w:firstLineChars="0"/>
        <w:textAlignment w:val="auto"/>
        <w:rPr>
          <w:rFonts w:hint="eastAsia"/>
          <w:lang w:val="en-US" w:eastAsia="zh-CN"/>
        </w:rPr>
      </w:pPr>
      <w:r>
        <w:rPr>
          <w:rFonts w:hint="eastAsia"/>
          <w:lang w:val="en-US" w:eastAsia="zh-CN"/>
        </w:rPr>
        <w:t>调整房间照明或屏幕照明，如照明水平、眩光和方向。</w:t>
      </w:r>
    </w:p>
    <w:p>
      <w:pPr>
        <w:keepNext w:val="0"/>
        <w:keepLines w:val="0"/>
        <w:pageBreakBefore w:val="0"/>
        <w:numPr>
          <w:ilvl w:val="0"/>
          <w:numId w:val="7"/>
        </w:numPr>
        <w:kinsoku/>
        <w:wordWrap/>
        <w:overflowPunct/>
        <w:topLinePunct w:val="0"/>
        <w:autoSpaceDE/>
        <w:autoSpaceDN/>
        <w:bidi w:val="0"/>
        <w:adjustRightInd/>
        <w:snapToGrid w:val="0"/>
        <w:spacing w:line="360" w:lineRule="auto"/>
        <w:ind w:left="93" w:leftChars="0" w:hanging="93" w:firstLineChars="0"/>
        <w:textAlignment w:val="auto"/>
        <w:rPr>
          <w:rFonts w:hint="eastAsia"/>
          <w:lang w:val="en-US" w:eastAsia="zh-CN"/>
        </w:rPr>
      </w:pPr>
      <w:r>
        <w:rPr>
          <w:rFonts w:hint="eastAsia"/>
          <w:lang w:val="en-US" w:eastAsia="zh-CN"/>
        </w:rPr>
        <w:t>提供满足肌肉骨骼疾病患者需求的椅子。</w:t>
      </w:r>
    </w:p>
    <w:p>
      <w:pPr>
        <w:keepNext w:val="0"/>
        <w:keepLines w:val="0"/>
        <w:pageBreakBefore w:val="0"/>
        <w:numPr>
          <w:ilvl w:val="0"/>
          <w:numId w:val="7"/>
        </w:numPr>
        <w:kinsoku/>
        <w:wordWrap/>
        <w:overflowPunct/>
        <w:topLinePunct w:val="0"/>
        <w:autoSpaceDE/>
        <w:autoSpaceDN/>
        <w:bidi w:val="0"/>
        <w:adjustRightInd/>
        <w:snapToGrid w:val="0"/>
        <w:spacing w:line="360" w:lineRule="auto"/>
        <w:ind w:left="93" w:leftChars="0" w:hanging="93" w:firstLineChars="0"/>
        <w:textAlignment w:val="auto"/>
        <w:rPr>
          <w:rFonts w:hint="eastAsia"/>
          <w:lang w:val="en-US" w:eastAsia="zh-CN"/>
        </w:rPr>
      </w:pPr>
      <w:r>
        <w:rPr>
          <w:rFonts w:hint="eastAsia"/>
          <w:lang w:val="en-US" w:eastAsia="zh-CN"/>
        </w:rPr>
        <w:t>为年轻人或任何人创造一个“分组讨论室”的空间，如果他们觉得会议过于情绪化（例如，讨论敏感话题时），可以休息一下。</w:t>
      </w:r>
    </w:p>
    <w:p>
      <w:pPr>
        <w:keepNext w:val="0"/>
        <w:keepLines w:val="0"/>
        <w:pageBreakBefore w:val="0"/>
        <w:numPr>
          <w:ilvl w:val="0"/>
          <w:numId w:val="7"/>
        </w:numPr>
        <w:kinsoku/>
        <w:wordWrap/>
        <w:overflowPunct/>
        <w:topLinePunct w:val="0"/>
        <w:autoSpaceDE/>
        <w:autoSpaceDN/>
        <w:bidi w:val="0"/>
        <w:adjustRightInd/>
        <w:snapToGrid w:val="0"/>
        <w:spacing w:line="360" w:lineRule="auto"/>
        <w:ind w:left="93" w:leftChars="0" w:hanging="93" w:firstLineChars="0"/>
        <w:textAlignment w:val="auto"/>
        <w:rPr>
          <w:rFonts w:hint="eastAsia"/>
          <w:lang w:val="en-US" w:eastAsia="zh-CN"/>
        </w:rPr>
      </w:pPr>
      <w:r>
        <w:rPr>
          <w:rFonts w:hint="eastAsia"/>
          <w:lang w:val="en-US" w:eastAsia="zh-CN"/>
        </w:rPr>
        <w:t>为患有自闭症谱系障碍或阅读障碍的人提供彩纸文件。此外，用简单的语言或极低的语言水平提供文档，并为识字或算术水平低的人提供解释这些文档的支持。</w:t>
      </w:r>
    </w:p>
    <w:p>
      <w:pPr>
        <w:keepNext w:val="0"/>
        <w:keepLines w:val="0"/>
        <w:pageBreakBefore w:val="0"/>
        <w:numPr>
          <w:ilvl w:val="0"/>
          <w:numId w:val="7"/>
        </w:numPr>
        <w:kinsoku/>
        <w:wordWrap/>
        <w:overflowPunct/>
        <w:topLinePunct w:val="0"/>
        <w:autoSpaceDE/>
        <w:autoSpaceDN/>
        <w:bidi w:val="0"/>
        <w:adjustRightInd/>
        <w:snapToGrid w:val="0"/>
        <w:spacing w:line="360" w:lineRule="auto"/>
        <w:ind w:left="93" w:leftChars="0" w:hanging="93" w:firstLineChars="0"/>
        <w:textAlignment w:val="auto"/>
        <w:rPr>
          <w:rFonts w:hint="eastAsia"/>
          <w:lang w:val="en-US" w:eastAsia="zh-CN"/>
        </w:rPr>
      </w:pPr>
      <w:r>
        <w:rPr>
          <w:rFonts w:hint="eastAsia"/>
          <w:lang w:val="en-US" w:eastAsia="zh-CN"/>
        </w:rPr>
        <w:t>为有需要的人提供专用洗手间。</w:t>
      </w:r>
    </w:p>
    <w:p>
      <w:pPr>
        <w:keepNext w:val="0"/>
        <w:keepLines w:val="0"/>
        <w:pageBreakBefore w:val="0"/>
        <w:numPr>
          <w:ilvl w:val="0"/>
          <w:numId w:val="7"/>
        </w:numPr>
        <w:kinsoku/>
        <w:wordWrap/>
        <w:overflowPunct/>
        <w:topLinePunct w:val="0"/>
        <w:autoSpaceDE/>
        <w:autoSpaceDN/>
        <w:bidi w:val="0"/>
        <w:adjustRightInd/>
        <w:snapToGrid w:val="0"/>
        <w:spacing w:line="360" w:lineRule="auto"/>
        <w:ind w:left="93" w:leftChars="0" w:hanging="93" w:firstLineChars="0"/>
        <w:textAlignment w:val="auto"/>
        <w:rPr>
          <w:rFonts w:hint="eastAsia"/>
          <w:lang w:val="en-US" w:eastAsia="zh-CN"/>
        </w:rPr>
      </w:pPr>
      <w:r>
        <w:rPr>
          <w:rFonts w:hint="eastAsia"/>
          <w:lang w:val="en-US" w:eastAsia="zh-CN"/>
        </w:rPr>
        <w:t>如果招聘了看护者，则需要为照料受抚养亲属提供财务支助，如果有人有孩子，则需要为儿童保育提供财务支助。</w:t>
      </w:r>
    </w:p>
    <w:p>
      <w:pPr>
        <w:keepNext w:val="0"/>
        <w:keepLines w:val="0"/>
        <w:pageBreakBefore w:val="0"/>
        <w:numPr>
          <w:ilvl w:val="0"/>
          <w:numId w:val="7"/>
        </w:numPr>
        <w:kinsoku/>
        <w:wordWrap/>
        <w:overflowPunct/>
        <w:topLinePunct w:val="0"/>
        <w:autoSpaceDE/>
        <w:autoSpaceDN/>
        <w:bidi w:val="0"/>
        <w:adjustRightInd/>
        <w:snapToGrid w:val="0"/>
        <w:spacing w:line="360" w:lineRule="auto"/>
        <w:ind w:left="93" w:leftChars="0" w:hanging="93" w:firstLineChars="0"/>
        <w:textAlignment w:val="auto"/>
        <w:rPr>
          <w:rFonts w:hint="eastAsia"/>
          <w:lang w:val="en-US" w:eastAsia="zh-CN"/>
        </w:rPr>
      </w:pPr>
      <w:r>
        <w:rPr>
          <w:rFonts w:hint="eastAsia"/>
          <w:lang w:val="en-US" w:eastAsia="zh-CN"/>
        </w:rPr>
        <w:t>提供财务信息，以确保任何付款不会对个人的国家利益产生不利影响。</w:t>
      </w:r>
    </w:p>
    <w:p>
      <w:pPr>
        <w:keepNext w:val="0"/>
        <w:keepLines w:val="0"/>
        <w:pageBreakBefore w:val="0"/>
        <w:numPr>
          <w:ilvl w:val="0"/>
          <w:numId w:val="7"/>
        </w:numPr>
        <w:kinsoku/>
        <w:wordWrap/>
        <w:overflowPunct/>
        <w:topLinePunct w:val="0"/>
        <w:autoSpaceDE/>
        <w:autoSpaceDN/>
        <w:bidi w:val="0"/>
        <w:adjustRightInd/>
        <w:snapToGrid w:val="0"/>
        <w:spacing w:line="360" w:lineRule="auto"/>
        <w:ind w:left="93" w:leftChars="0" w:hanging="93" w:firstLineChars="0"/>
        <w:textAlignment w:val="auto"/>
        <w:rPr>
          <w:rFonts w:hint="eastAsia"/>
          <w:lang w:val="en-US" w:eastAsia="zh-CN"/>
        </w:rPr>
      </w:pPr>
      <w:r>
        <w:rPr>
          <w:rFonts w:hint="eastAsia"/>
          <w:lang w:val="en-US" w:eastAsia="zh-CN"/>
        </w:rPr>
        <w:t>确保提供的任何食物符合人们的饮食要求。</w:t>
      </w:r>
    </w:p>
    <w:p>
      <w:pPr>
        <w:keepNext w:val="0"/>
        <w:keepLines w:val="0"/>
        <w:pageBreakBefore w:val="0"/>
        <w:numPr>
          <w:ilvl w:val="0"/>
          <w:numId w:val="7"/>
        </w:numPr>
        <w:kinsoku/>
        <w:wordWrap/>
        <w:overflowPunct/>
        <w:topLinePunct w:val="0"/>
        <w:autoSpaceDE/>
        <w:autoSpaceDN/>
        <w:bidi w:val="0"/>
        <w:adjustRightInd/>
        <w:snapToGrid w:val="0"/>
        <w:spacing w:line="360" w:lineRule="auto"/>
        <w:ind w:left="93" w:leftChars="0" w:hanging="93" w:firstLineChars="0"/>
        <w:textAlignment w:val="auto"/>
        <w:rPr>
          <w:rFonts w:hint="eastAsia"/>
          <w:lang w:val="en-US" w:eastAsia="zh-CN"/>
        </w:rPr>
      </w:pPr>
      <w:r>
        <w:rPr>
          <w:rFonts w:hint="eastAsia"/>
          <w:lang w:val="en-US" w:eastAsia="zh-CN"/>
        </w:rPr>
        <w:t>在安排电话交谈前半小时，给患有痴呆症或记忆力障碍的人发短信，或提醒他们以获得支持。</w:t>
      </w:r>
    </w:p>
    <w:p>
      <w:pPr>
        <w:keepNext w:val="0"/>
        <w:keepLines w:val="0"/>
        <w:pageBreakBefore w:val="0"/>
        <w:numPr>
          <w:ilvl w:val="0"/>
          <w:numId w:val="7"/>
        </w:numPr>
        <w:kinsoku/>
        <w:wordWrap/>
        <w:overflowPunct/>
        <w:topLinePunct w:val="0"/>
        <w:autoSpaceDE/>
        <w:autoSpaceDN/>
        <w:bidi w:val="0"/>
        <w:adjustRightInd/>
        <w:snapToGrid w:val="0"/>
        <w:spacing w:line="360" w:lineRule="auto"/>
        <w:ind w:left="93" w:leftChars="0" w:hanging="93" w:firstLineChars="0"/>
        <w:textAlignment w:val="auto"/>
        <w:rPr>
          <w:rFonts w:hint="eastAsia"/>
          <w:lang w:val="en-US" w:eastAsia="zh-CN"/>
        </w:rPr>
      </w:pPr>
      <w:r>
        <w:rPr>
          <w:rFonts w:hint="eastAsia"/>
          <w:lang w:val="en-US" w:eastAsia="zh-CN"/>
        </w:rPr>
        <w:t>让中立的支持人员（以最大程度地减少偏见）突出显示论文中最重要的部分来阅读或评论，或以患者或公众为重点向他们提出具体问题。</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lang w:val="en-US" w:eastAsia="zh-CN"/>
        </w:rPr>
      </w:pPr>
      <w:r>
        <w:rPr>
          <w:rFonts w:hint="eastAsia"/>
          <w:lang w:val="en-US" w:eastAsia="zh-CN"/>
        </w:rPr>
        <w:t>对于某些主题，患者组织可以为个人提供实践支持。例如，针对代表性不足的人群（NG33；NICE）中关于结核病的NICE指南，经历过结核病的成员参与其中，并从无家可归的慈善机构获得了额外的实践支持。这包括使用永久性的通讯地址，因为他们住在临时的无家可归者的收容所中，并可以使用计算机进行会议之间的通讯。</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b/>
          <w:bCs/>
          <w:lang w:val="en-US" w:eastAsia="zh-CN"/>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b/>
          <w:bCs/>
          <w:lang w:val="en-US" w:eastAsia="zh-CN"/>
        </w:rPr>
      </w:pPr>
      <w:r>
        <w:rPr>
          <w:rFonts w:hint="eastAsia"/>
          <w:b/>
          <w:bCs/>
          <w:lang w:val="en-US" w:eastAsia="zh-CN"/>
        </w:rPr>
        <w:t>重视成员</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lang w:val="en-US" w:eastAsia="zh-CN"/>
        </w:rPr>
      </w:pPr>
      <w:r>
        <w:rPr>
          <w:rFonts w:hint="eastAsia"/>
          <w:lang w:val="en-US" w:eastAsia="zh-CN"/>
        </w:rPr>
        <w:t>患者和公众成员大部分时间都在自愿参与指南的制定中，因此他们的时间、努力和价值应该得到认可。在G-I-N公共研讨会上，患者集体表示，因其奉献而受到欢迎和尊重比对其时间的经济补偿更重要。然而，对一部分人来说，参与指南的制定可能意味着无薪休假或者会产生成本。INVOKE（2011）概述了提供补偿的优势包括:【补偿or报酬】</w:t>
      </w:r>
    </w:p>
    <w:p>
      <w:pPr>
        <w:keepNext w:val="0"/>
        <w:keepLines w:val="0"/>
        <w:pageBreakBefore w:val="0"/>
        <w:numPr>
          <w:ilvl w:val="0"/>
          <w:numId w:val="7"/>
        </w:numPr>
        <w:kinsoku/>
        <w:wordWrap/>
        <w:overflowPunct/>
        <w:topLinePunct w:val="0"/>
        <w:autoSpaceDE/>
        <w:autoSpaceDN/>
        <w:bidi w:val="0"/>
        <w:adjustRightInd/>
        <w:snapToGrid w:val="0"/>
        <w:spacing w:line="360" w:lineRule="auto"/>
        <w:ind w:left="93" w:leftChars="0" w:hanging="93" w:firstLineChars="0"/>
        <w:textAlignment w:val="auto"/>
        <w:rPr>
          <w:rFonts w:hint="eastAsia"/>
          <w:lang w:val="en-US" w:eastAsia="zh-CN"/>
        </w:rPr>
      </w:pPr>
      <w:r>
        <w:rPr>
          <w:rFonts w:hint="eastAsia"/>
          <w:lang w:val="en-US" w:eastAsia="zh-CN"/>
        </w:rPr>
        <w:t xml:space="preserve">通过补偿人们因必须休假或安排育儿、旅行费用、访问期刊和技术、获得护理或私人助理等而损失的收入来支持获得机会的公平性。 </w:t>
      </w:r>
    </w:p>
    <w:p>
      <w:pPr>
        <w:keepNext w:val="0"/>
        <w:keepLines w:val="0"/>
        <w:pageBreakBefore w:val="0"/>
        <w:numPr>
          <w:ilvl w:val="0"/>
          <w:numId w:val="7"/>
        </w:numPr>
        <w:kinsoku/>
        <w:wordWrap/>
        <w:overflowPunct/>
        <w:topLinePunct w:val="0"/>
        <w:autoSpaceDE/>
        <w:autoSpaceDN/>
        <w:bidi w:val="0"/>
        <w:adjustRightInd/>
        <w:snapToGrid w:val="0"/>
        <w:spacing w:line="360" w:lineRule="auto"/>
        <w:ind w:left="93" w:leftChars="0" w:hanging="93" w:firstLineChars="0"/>
        <w:textAlignment w:val="auto"/>
        <w:rPr>
          <w:rFonts w:hint="eastAsia"/>
          <w:lang w:val="en-US" w:eastAsia="zh-CN"/>
        </w:rPr>
      </w:pPr>
      <w:r>
        <w:rPr>
          <w:rFonts w:hint="eastAsia"/>
          <w:lang w:val="en-US" w:eastAsia="zh-CN"/>
        </w:rPr>
        <w:t xml:space="preserve">支持团体中的权力平等。 </w:t>
      </w:r>
    </w:p>
    <w:p>
      <w:pPr>
        <w:keepNext w:val="0"/>
        <w:keepLines w:val="0"/>
        <w:pageBreakBefore w:val="0"/>
        <w:numPr>
          <w:ilvl w:val="0"/>
          <w:numId w:val="7"/>
        </w:numPr>
        <w:kinsoku/>
        <w:wordWrap/>
        <w:overflowPunct/>
        <w:topLinePunct w:val="0"/>
        <w:autoSpaceDE/>
        <w:autoSpaceDN/>
        <w:bidi w:val="0"/>
        <w:adjustRightInd/>
        <w:snapToGrid w:val="0"/>
        <w:spacing w:line="360" w:lineRule="auto"/>
        <w:ind w:left="93" w:leftChars="0" w:hanging="93" w:firstLineChars="0"/>
        <w:textAlignment w:val="auto"/>
        <w:rPr>
          <w:rFonts w:hint="eastAsia"/>
          <w:lang w:val="en-US" w:eastAsia="zh-CN"/>
        </w:rPr>
      </w:pPr>
      <w:r>
        <w:rPr>
          <w:rFonts w:hint="eastAsia"/>
          <w:lang w:val="en-US" w:eastAsia="zh-CN"/>
        </w:rPr>
        <w:t>认可团队成员的专业精神和对公共服务的贡献。</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b/>
          <w:bCs/>
          <w:lang w:val="en-US" w:eastAsia="zh-CN"/>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b/>
          <w:bCs/>
          <w:lang w:val="en-US" w:eastAsia="zh-CN"/>
        </w:rPr>
      </w:pPr>
      <w:r>
        <w:rPr>
          <w:rFonts w:hint="eastAsia"/>
          <w:b/>
          <w:bCs/>
          <w:lang w:val="en-US" w:eastAsia="zh-CN"/>
        </w:rPr>
        <w:t>补偿类型</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b/>
          <w:bCs/>
          <w:lang w:val="en-US" w:eastAsia="zh-CN"/>
        </w:rPr>
      </w:pPr>
      <w:r>
        <w:rPr>
          <w:rFonts w:hint="eastAsia"/>
          <w:lang w:val="en-US" w:eastAsia="zh-CN"/>
        </w:rPr>
        <w:t>作为最低要求，G-I-N PUBLIC建议至少提供费用，例如差旅费或住宿费，并为时间和精力提供补偿。补偿也可能包括看护者或育儿者的责任，并且应公平合理地适用于他们的职责。在其他情况下，例如参加培训活动或其他准备工作，也可以提供补偿。或可以提供实物支付，例如代金券。这很可能受地方和国家政策的约束。不论补偿的种类如何，制定者都应该对在招募过程中的任何补偿安排保持透明。</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b/>
          <w:bCs/>
          <w:lang w:val="en-US" w:eastAsia="zh-CN"/>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b/>
          <w:bCs/>
          <w:lang w:val="en-US" w:eastAsia="zh-CN"/>
        </w:rPr>
      </w:pPr>
      <w:r>
        <w:rPr>
          <w:rFonts w:hint="eastAsia"/>
          <w:b/>
          <w:bCs/>
          <w:lang w:val="en-US" w:eastAsia="zh-CN"/>
        </w:rPr>
        <w:t>缺乏预算</w:t>
      </w:r>
    </w:p>
    <w:p>
      <w:pPr>
        <w:pStyle w:val="11"/>
        <w:keepNext w:val="0"/>
        <w:keepLines w:val="0"/>
        <w:pageBreakBefore w:val="0"/>
        <w:kinsoku/>
        <w:wordWrap/>
        <w:overflowPunct/>
        <w:topLinePunct w:val="0"/>
        <w:autoSpaceDE/>
        <w:autoSpaceDN/>
        <w:bidi w:val="0"/>
        <w:adjustRightInd/>
        <w:snapToGrid w:val="0"/>
        <w:spacing w:before="156" w:beforeLines="50" w:beforeAutospacing="0" w:after="156" w:afterLines="50" w:afterAutospacing="0" w:line="360" w:lineRule="auto"/>
        <w:ind w:firstLine="420" w:firstLineChars="200"/>
        <w:jc w:val="both"/>
        <w:textAlignment w:val="auto"/>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一些组织可能依靠志愿者来引导患者参与。在这种情况下，应在招募文件中明确需要志愿者。缺乏支付或报销费用的资金可能会影响招募人员的能力，特别是来自较低社会经济背景的人员。在极少数情况下，患者组织可能会提供支持。可能有政策或法律管理无偿工作，因此请检查当地情况。</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b/>
          <w:bCs/>
          <w:lang w:val="en-US" w:eastAsia="zh-CN"/>
        </w:rPr>
      </w:pPr>
      <w:r>
        <w:rPr>
          <w:rFonts w:hint="eastAsia"/>
          <w:b/>
          <w:bCs/>
          <w:lang w:val="en-US" w:eastAsia="zh-CN"/>
        </w:rPr>
        <w:t>对领取国家补助金的人的考虑</w:t>
      </w:r>
    </w:p>
    <w:p>
      <w:pPr>
        <w:pStyle w:val="11"/>
        <w:keepNext w:val="0"/>
        <w:keepLines w:val="0"/>
        <w:pageBreakBefore w:val="0"/>
        <w:kinsoku/>
        <w:wordWrap/>
        <w:overflowPunct/>
        <w:topLinePunct w:val="0"/>
        <w:autoSpaceDE/>
        <w:autoSpaceDN/>
        <w:bidi w:val="0"/>
        <w:adjustRightInd/>
        <w:snapToGrid w:val="0"/>
        <w:spacing w:before="156" w:beforeLines="50" w:beforeAutospacing="0" w:after="156" w:afterLines="50" w:afterAutospacing="0" w:line="360" w:lineRule="auto"/>
        <w:ind w:firstLine="420" w:firstLineChars="200"/>
        <w:jc w:val="both"/>
        <w:textAlignment w:val="auto"/>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在某些情况下，获得付款将被视为有偿工作，并可能取消已领取的任何国家福利（失业或残疾津贴）。此外，付款可能会被视为符合应纳税收入条件，这可能会影响个体职业者。在这种情况下，费用（例如火车票和住宿）应由组织预订并从组织预算中支付，这应避免个人被征税。您所在的国家/地区可能有一个组织可以对此提出建议。如果是这样，请在招募之前征求他们的意见，以便可以回答潜在申请人的询问。</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b/>
          <w:bCs/>
          <w:lang w:val="en-US" w:eastAsia="zh-CN"/>
        </w:rPr>
      </w:pPr>
      <w:r>
        <w:rPr>
          <w:rFonts w:hint="eastAsia"/>
          <w:b/>
          <w:bCs/>
          <w:lang w:val="en-US" w:eastAsia="zh-CN"/>
        </w:rPr>
        <w:t>实践中的补偿</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NICE的非专业成员付款和费用为患者和公众会员提供一笔出勤费，包括半天或全天的费用（2020a）。也包括差旅费、生活费、住宿费和看护人费用（例如，儿童保育或护工安排）。NICE将预订并支付任何此类费用，以便成员在等待报销时不会自掏腰包。如果成员是患者组织的员工，那么可以向他们的组织而不是个人报销或支付出勤费。</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b/>
          <w:bCs/>
          <w:lang w:val="en-US" w:eastAsia="zh-CN"/>
        </w:rPr>
      </w:pPr>
      <w:r>
        <w:rPr>
          <w:rFonts w:hint="eastAsia"/>
          <w:b/>
          <w:bCs/>
          <w:lang w:val="en-US" w:eastAsia="zh-CN"/>
        </w:rPr>
        <w:t>非正式支持</w:t>
      </w:r>
    </w:p>
    <w:p>
      <w:pPr>
        <w:pStyle w:val="11"/>
        <w:keepNext w:val="0"/>
        <w:keepLines w:val="0"/>
        <w:pageBreakBefore w:val="0"/>
        <w:kinsoku/>
        <w:wordWrap/>
        <w:overflowPunct/>
        <w:topLinePunct w:val="0"/>
        <w:autoSpaceDE/>
        <w:autoSpaceDN/>
        <w:bidi w:val="0"/>
        <w:adjustRightInd/>
        <w:snapToGrid w:val="0"/>
        <w:spacing w:before="156" w:beforeLines="50" w:beforeAutospacing="0" w:after="156" w:afterLines="50" w:afterAutospacing="0" w:line="360" w:lineRule="auto"/>
        <w:ind w:firstLine="420" w:firstLineChars="200"/>
        <w:jc w:val="both"/>
        <w:textAlignment w:val="auto"/>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非正式支持可能包括情感支持和建立信任、融洽的关系，这可以让一些人觉得他们的角色是受欢迎的。人们可能对非正式支持需要的数量会有所不同，因此需要针对个人量身定制。有些人可能在患者宣教、委员会工作和决策制定方面有很强的背景，而对另一些人来讲，可能会发现指南制定小组工作是一种全新的体验。</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b/>
          <w:bCs/>
          <w:lang w:val="en-US" w:eastAsia="zh-CN"/>
        </w:rPr>
      </w:pPr>
      <w:r>
        <w:rPr>
          <w:rFonts w:hint="eastAsia"/>
          <w:b/>
          <w:bCs/>
          <w:lang w:val="en-US" w:eastAsia="zh-CN"/>
        </w:rPr>
        <w:t>非正式支持的方法</w:t>
      </w:r>
    </w:p>
    <w:p>
      <w:pPr>
        <w:pStyle w:val="11"/>
        <w:keepNext w:val="0"/>
        <w:keepLines w:val="0"/>
        <w:pageBreakBefore w:val="0"/>
        <w:kinsoku/>
        <w:wordWrap/>
        <w:overflowPunct/>
        <w:topLinePunct w:val="0"/>
        <w:autoSpaceDE/>
        <w:autoSpaceDN/>
        <w:bidi w:val="0"/>
        <w:adjustRightInd/>
        <w:snapToGrid w:val="0"/>
        <w:spacing w:before="156" w:beforeLines="50" w:beforeAutospacing="0" w:after="156" w:afterLines="50" w:afterAutospacing="0" w:line="360" w:lineRule="auto"/>
        <w:ind w:firstLine="420" w:firstLineChars="200"/>
        <w:jc w:val="both"/>
        <w:textAlignment w:val="auto"/>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非正式支持的示例包括：</w:t>
      </w:r>
    </w:p>
    <w:p>
      <w:pPr>
        <w:keepNext w:val="0"/>
        <w:keepLines w:val="0"/>
        <w:pageBreakBefore w:val="0"/>
        <w:numPr>
          <w:ilvl w:val="0"/>
          <w:numId w:val="7"/>
        </w:numPr>
        <w:kinsoku/>
        <w:wordWrap/>
        <w:overflowPunct/>
        <w:topLinePunct w:val="0"/>
        <w:autoSpaceDE/>
        <w:autoSpaceDN/>
        <w:bidi w:val="0"/>
        <w:adjustRightInd/>
        <w:snapToGrid w:val="0"/>
        <w:spacing w:line="360" w:lineRule="auto"/>
        <w:ind w:left="93" w:leftChars="0" w:hanging="93" w:firstLineChars="0"/>
        <w:textAlignment w:val="auto"/>
        <w:rPr>
          <w:rFonts w:hint="eastAsia"/>
          <w:lang w:val="en-US" w:eastAsia="zh-CN"/>
        </w:rPr>
      </w:pPr>
      <w:r>
        <w:rPr>
          <w:rFonts w:hint="eastAsia"/>
          <w:lang w:val="en-US" w:eastAsia="zh-CN"/>
        </w:rPr>
        <w:t>为个人提供一个关键的联系人，如果他们需要进一步的信息或遇到任何困难，无论是实际问题还是团队合作的个人影响，他都可以提供帮助。</w:t>
      </w:r>
    </w:p>
    <w:p>
      <w:pPr>
        <w:keepNext w:val="0"/>
        <w:keepLines w:val="0"/>
        <w:pageBreakBefore w:val="0"/>
        <w:numPr>
          <w:ilvl w:val="0"/>
          <w:numId w:val="7"/>
        </w:numPr>
        <w:kinsoku/>
        <w:wordWrap/>
        <w:overflowPunct/>
        <w:topLinePunct w:val="0"/>
        <w:autoSpaceDE/>
        <w:autoSpaceDN/>
        <w:bidi w:val="0"/>
        <w:adjustRightInd/>
        <w:snapToGrid w:val="0"/>
        <w:spacing w:line="360" w:lineRule="auto"/>
        <w:ind w:left="93" w:leftChars="0" w:hanging="93" w:firstLineChars="0"/>
        <w:textAlignment w:val="auto"/>
        <w:rPr>
          <w:rFonts w:hint="eastAsia"/>
          <w:lang w:val="en-US" w:eastAsia="zh-CN"/>
        </w:rPr>
      </w:pPr>
      <w:r>
        <w:rPr>
          <w:rFonts w:hint="eastAsia"/>
          <w:lang w:val="en-US" w:eastAsia="zh-CN"/>
        </w:rPr>
        <w:t>主动联系之前参与指南小组讨论的其他患者的“同行小组”。此外，制定人员可以提供与一对一的“伙伴”进行联系，该伙伴是您所在机构中经验丰富的患者或公众成员。通常建议其中有一个人不是同一指南制定组的另一个成员。另一个联系人可能是指南项目管理者。</w:t>
      </w:r>
    </w:p>
    <w:p>
      <w:pPr>
        <w:keepNext w:val="0"/>
        <w:keepLines w:val="0"/>
        <w:pageBreakBefore w:val="0"/>
        <w:numPr>
          <w:ilvl w:val="0"/>
          <w:numId w:val="7"/>
        </w:numPr>
        <w:kinsoku/>
        <w:wordWrap/>
        <w:overflowPunct/>
        <w:topLinePunct w:val="0"/>
        <w:autoSpaceDE/>
        <w:autoSpaceDN/>
        <w:bidi w:val="0"/>
        <w:adjustRightInd/>
        <w:snapToGrid w:val="0"/>
        <w:spacing w:line="360" w:lineRule="auto"/>
        <w:ind w:left="93" w:leftChars="0" w:hanging="93" w:firstLineChars="0"/>
        <w:textAlignment w:val="auto"/>
        <w:rPr>
          <w:rFonts w:hint="eastAsia"/>
          <w:lang w:val="en-US" w:eastAsia="zh-CN"/>
        </w:rPr>
      </w:pPr>
      <w:r>
        <w:rPr>
          <w:rFonts w:hint="eastAsia"/>
          <w:lang w:val="en-US" w:eastAsia="zh-CN"/>
        </w:rPr>
        <w:t>在小组第一次会议之前联系每个人。这将提供为解决关于第一次会议中的任何问题提供了一个机会，并评估会议的任何其他实际或非正式支持需求。对于如何招募和支持患者和公众，以及克服其与联系人接触的障碍，从而将个人介绍给指南小组和支持人员来说，这是非常有用的。</w:t>
      </w:r>
    </w:p>
    <w:p>
      <w:pPr>
        <w:keepNext w:val="0"/>
        <w:keepLines w:val="0"/>
        <w:pageBreakBefore w:val="0"/>
        <w:numPr>
          <w:ilvl w:val="0"/>
          <w:numId w:val="7"/>
        </w:numPr>
        <w:kinsoku/>
        <w:wordWrap/>
        <w:overflowPunct/>
        <w:topLinePunct w:val="0"/>
        <w:autoSpaceDE/>
        <w:autoSpaceDN/>
        <w:bidi w:val="0"/>
        <w:adjustRightInd/>
        <w:snapToGrid w:val="0"/>
        <w:spacing w:line="360" w:lineRule="auto"/>
        <w:ind w:left="93" w:leftChars="0" w:hanging="93" w:firstLineChars="0"/>
        <w:textAlignment w:val="auto"/>
        <w:rPr>
          <w:rFonts w:hint="eastAsia"/>
          <w:lang w:val="en-US" w:eastAsia="zh-CN"/>
        </w:rPr>
      </w:pPr>
      <w:r>
        <w:rPr>
          <w:rFonts w:hint="eastAsia"/>
          <w:lang w:val="en-US" w:eastAsia="zh-CN"/>
        </w:rPr>
        <w:t>在小组第一次会议和任何其他重要会议后跟进每个人。这将提供了为接收他们的经验反馈，并确定下一次会议是否可以改进的机会。</w:t>
      </w:r>
    </w:p>
    <w:p>
      <w:pPr>
        <w:keepNext w:val="0"/>
        <w:keepLines w:val="0"/>
        <w:pageBreakBefore w:val="0"/>
        <w:numPr>
          <w:ilvl w:val="0"/>
          <w:numId w:val="7"/>
        </w:numPr>
        <w:kinsoku/>
        <w:wordWrap/>
        <w:overflowPunct/>
        <w:topLinePunct w:val="0"/>
        <w:autoSpaceDE/>
        <w:autoSpaceDN/>
        <w:bidi w:val="0"/>
        <w:adjustRightInd/>
        <w:snapToGrid w:val="0"/>
        <w:spacing w:line="360" w:lineRule="auto"/>
        <w:ind w:left="93" w:leftChars="0" w:hanging="93" w:firstLineChars="0"/>
        <w:textAlignment w:val="auto"/>
        <w:rPr>
          <w:rFonts w:hint="eastAsia"/>
          <w:lang w:val="en-US" w:eastAsia="zh-CN"/>
        </w:rPr>
      </w:pPr>
      <w:r>
        <w:rPr>
          <w:rFonts w:hint="eastAsia"/>
          <w:lang w:val="en-US" w:eastAsia="zh-CN"/>
        </w:rPr>
        <w:t>拨打额外的登记电话或发送电子邮件对于特定任务（例如，综述材料）以便查找是否需要任何支持非常有用，</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b/>
          <w:bCs/>
          <w:lang w:val="en-US" w:eastAsia="zh-CN"/>
        </w:rPr>
      </w:pPr>
      <w:r>
        <w:rPr>
          <w:rFonts w:hint="eastAsia"/>
          <w:b/>
          <w:bCs/>
          <w:lang w:val="en-US" w:eastAsia="zh-CN"/>
        </w:rPr>
        <w:t>管理情感影响</w:t>
      </w:r>
    </w:p>
    <w:p>
      <w:pPr>
        <w:pStyle w:val="11"/>
        <w:keepNext w:val="0"/>
        <w:keepLines w:val="0"/>
        <w:pageBreakBefore w:val="0"/>
        <w:kinsoku/>
        <w:wordWrap/>
        <w:overflowPunct/>
        <w:topLinePunct w:val="0"/>
        <w:autoSpaceDE/>
        <w:autoSpaceDN/>
        <w:bidi w:val="0"/>
        <w:adjustRightInd/>
        <w:snapToGrid w:val="0"/>
        <w:spacing w:before="156" w:beforeLines="50" w:beforeAutospacing="0" w:after="156" w:afterLines="50" w:afterAutospacing="0" w:line="360" w:lineRule="auto"/>
        <w:ind w:firstLine="420" w:firstLineChars="200"/>
        <w:jc w:val="both"/>
        <w:textAlignment w:val="auto"/>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参加指南制定小组可能会对一些人产生情感影响。例如，如果他们觉得自己的想法没有得到公平考虑，他们可能会感到沮丧，或者当小组讨论敏感问题时，他们可能会感到不安。要的是个人在早期讨论他们在遇到的任何困难。指南的制定者应该明确指出，这是正常的反应，而非不专业的，并且应在需要时确定任何支持网络和应对策略。如果不解决，可能会导致患者退出指南小组。</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b/>
          <w:bCs/>
          <w:lang w:val="en-US" w:eastAsia="zh-CN"/>
        </w:rPr>
      </w:pPr>
      <w:r>
        <w:rPr>
          <w:rFonts w:hint="eastAsia"/>
          <w:b/>
          <w:bCs/>
          <w:lang w:val="en-US" w:eastAsia="zh-CN"/>
        </w:rPr>
        <w:t>实践中的非正式支持</w:t>
      </w:r>
    </w:p>
    <w:p>
      <w:pPr>
        <w:pStyle w:val="11"/>
        <w:keepNext w:val="0"/>
        <w:keepLines w:val="0"/>
        <w:pageBreakBefore w:val="0"/>
        <w:kinsoku/>
        <w:wordWrap/>
        <w:overflowPunct/>
        <w:topLinePunct w:val="0"/>
        <w:autoSpaceDE/>
        <w:autoSpaceDN/>
        <w:bidi w:val="0"/>
        <w:adjustRightInd/>
        <w:snapToGrid w:val="0"/>
        <w:spacing w:before="156" w:beforeLines="50" w:beforeAutospacing="0" w:after="156" w:afterLines="50" w:afterAutospacing="0" w:line="360" w:lineRule="auto"/>
        <w:ind w:firstLine="420" w:firstLineChars="200"/>
        <w:jc w:val="both"/>
        <w:textAlignment w:val="auto"/>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为了提供非正式的支持，英国的NICE和德国的ÄZQ为患者和公众成员提供了一个关键的联系人，这样他们就知道应该联系谁以获得支持或讨论任何出现的问题。在NICE，关键人员将在第一次小组会议之前联系患者成员，这是确认任何额外支持需求的机会。他们也会在第一次会议上问候成员。在那之后，关键联系人在第一次和第二次会议之后通过电子邮件联系，然后每3个月（对于较短的指南）或6个月通过电话或电子邮件联系。NICE还为新成员提供机会与现有的有经验的患者和公众成员面对面或虚拟地讨论指南的制定过程和他们的角色。个人也可以在任何时候联系到他们的关键联系人。SIGN也提供了一个类似的伙伴，他可以在一次性基础上或在指南制定过程中提供支持（SIGN 2019）。</w:t>
      </w:r>
    </w:p>
    <w:p>
      <w:pPr>
        <w:pStyle w:val="11"/>
        <w:keepNext w:val="0"/>
        <w:keepLines w:val="0"/>
        <w:pageBreakBefore w:val="0"/>
        <w:kinsoku/>
        <w:wordWrap/>
        <w:overflowPunct/>
        <w:topLinePunct w:val="0"/>
        <w:autoSpaceDE/>
        <w:autoSpaceDN/>
        <w:bidi w:val="0"/>
        <w:adjustRightInd/>
        <w:snapToGrid w:val="0"/>
        <w:spacing w:before="156" w:beforeLines="50" w:beforeAutospacing="0" w:after="156" w:afterLines="50" w:afterAutospacing="0" w:line="360" w:lineRule="auto"/>
        <w:ind w:firstLine="420" w:firstLineChars="200"/>
        <w:jc w:val="both"/>
        <w:textAlignment w:val="auto"/>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有时患者组织或支持小组可以提供非正式支持，特别是对专家小组。例如，在与移民团体合作时，ÄZQ与移民利益团体合作，他们可以在可能的情况下为某些疾病（例如糖尿病）提供帮助或提供支持。</w:t>
      </w:r>
    </w:p>
    <w:p>
      <w:pPr>
        <w:pStyle w:val="11"/>
        <w:keepNext w:val="0"/>
        <w:keepLines w:val="0"/>
        <w:pageBreakBefore w:val="0"/>
        <w:kinsoku/>
        <w:wordWrap/>
        <w:overflowPunct/>
        <w:topLinePunct w:val="0"/>
        <w:autoSpaceDE/>
        <w:autoSpaceDN/>
        <w:bidi w:val="0"/>
        <w:adjustRightInd/>
        <w:snapToGrid w:val="0"/>
        <w:spacing w:before="156" w:beforeLines="50" w:beforeAutospacing="0" w:after="156" w:afterLines="50" w:afterAutospacing="0" w:line="360" w:lineRule="auto"/>
        <w:ind w:firstLine="420" w:firstLineChars="200"/>
        <w:jc w:val="both"/>
        <w:textAlignment w:val="auto"/>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与某些群体建立信任和融洽关系也特别重要，这可能涉及对特定的文化规范和传统的考虑。在加拿大，当与土著居民合作时，RNAOs会将传统的文化仪式或做法（例如共享传统烟草礼物或涂抹）纳入到指南制定过程中。提供与文化相关的支持以表明相互尊重的参与，并且可以在经验丰富的个人与制定人员之间建立信任和融洽的关系。</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b/>
          <w:bCs/>
          <w:lang w:val="en-US" w:eastAsia="zh-CN"/>
        </w:rPr>
      </w:pPr>
      <w:r>
        <w:rPr>
          <w:rFonts w:hint="eastAsia"/>
          <w:b/>
          <w:bCs/>
          <w:sz w:val="24"/>
          <w:szCs w:val="32"/>
          <w:lang w:val="en-US" w:eastAsia="zh-CN"/>
        </w:rPr>
        <w:t xml:space="preserve">第三部分 </w:t>
      </w:r>
      <w:r>
        <w:rPr>
          <w:rFonts w:hint="eastAsia"/>
          <w:b/>
          <w:bCs/>
          <w:lang w:val="en-US" w:eastAsia="zh-CN"/>
        </w:rPr>
        <w:t>培训和共同学习</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患者参与的一个障碍是担心患者或公众成员是否具备与有效参与指南制定过程的研究和小组工作相关的技能和知识（Armstrong et al. 2017）。如前所述，只招募具有现有研究和技术技能的个人是不必要的，也是不可取的。此外，患者成员担心专业成员会以其的知识和想法主导会议（Shippee et al. 2015）。培训和共同学习是克服这些障碍的有用策略，并可以通过鼓励能力建设来增加患者的信心，这是患者和公众参与的基本原则。然而，也有人担心过多的培训可能会导致“专业”患者不再带来个人经验。即使是循证医学的基础培训，也可以自动排除算术水平低的人。所以培训要针对每个人的需求量身定做。培训和共同学习之间的区别解释如下。</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b/>
          <w:bCs/>
          <w:lang w:val="en-US" w:eastAsia="zh-CN"/>
        </w:rPr>
      </w:pPr>
      <w:r>
        <w:rPr>
          <w:rFonts w:hint="eastAsia"/>
          <w:b/>
          <w:bCs/>
          <w:lang w:val="en-US" w:eastAsia="zh-CN"/>
        </w:rPr>
        <w:t>培训</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培训应提高成员对其角色以及如何在指南制定过程中产生影响的信心。培训比共同学习更正式，可以包括1天或多天的结构化学习，具体学习成果与患者和公众参与指南制定相关。培训可以包括不同的主题，包括：</w:t>
      </w:r>
    </w:p>
    <w:p>
      <w:pPr>
        <w:keepNext w:val="0"/>
        <w:keepLines w:val="0"/>
        <w:pageBreakBefore w:val="0"/>
        <w:numPr>
          <w:ilvl w:val="0"/>
          <w:numId w:val="7"/>
        </w:numPr>
        <w:kinsoku/>
        <w:wordWrap/>
        <w:overflowPunct/>
        <w:topLinePunct w:val="0"/>
        <w:autoSpaceDE/>
        <w:autoSpaceDN/>
        <w:bidi w:val="0"/>
        <w:adjustRightInd/>
        <w:snapToGrid w:val="0"/>
        <w:spacing w:line="360" w:lineRule="auto"/>
        <w:ind w:left="93" w:leftChars="0" w:hanging="93" w:firstLineChars="0"/>
        <w:textAlignment w:val="auto"/>
        <w:rPr>
          <w:rFonts w:hint="eastAsia"/>
          <w:lang w:val="en-US" w:eastAsia="zh-CN"/>
        </w:rPr>
      </w:pPr>
      <w:r>
        <w:rPr>
          <w:rFonts w:hint="eastAsia"/>
          <w:lang w:val="en-US" w:eastAsia="zh-CN"/>
        </w:rPr>
        <w:t>指南制定流程</w:t>
      </w:r>
    </w:p>
    <w:p>
      <w:pPr>
        <w:keepNext w:val="0"/>
        <w:keepLines w:val="0"/>
        <w:pageBreakBefore w:val="0"/>
        <w:numPr>
          <w:ilvl w:val="0"/>
          <w:numId w:val="7"/>
        </w:numPr>
        <w:kinsoku/>
        <w:wordWrap/>
        <w:overflowPunct/>
        <w:topLinePunct w:val="0"/>
        <w:autoSpaceDE/>
        <w:autoSpaceDN/>
        <w:bidi w:val="0"/>
        <w:adjustRightInd/>
        <w:snapToGrid w:val="0"/>
        <w:spacing w:line="360" w:lineRule="auto"/>
        <w:ind w:left="93" w:leftChars="0" w:hanging="93" w:firstLineChars="0"/>
        <w:textAlignment w:val="auto"/>
        <w:rPr>
          <w:rFonts w:hint="eastAsia"/>
          <w:lang w:val="en-US" w:eastAsia="zh-CN"/>
        </w:rPr>
      </w:pPr>
      <w:r>
        <w:rPr>
          <w:rFonts w:hint="eastAsia"/>
          <w:lang w:val="en-US" w:eastAsia="zh-CN"/>
        </w:rPr>
        <w:t>研究方法和术语</w:t>
      </w:r>
    </w:p>
    <w:p>
      <w:pPr>
        <w:keepNext w:val="0"/>
        <w:keepLines w:val="0"/>
        <w:pageBreakBefore w:val="0"/>
        <w:numPr>
          <w:ilvl w:val="0"/>
          <w:numId w:val="7"/>
        </w:numPr>
        <w:kinsoku/>
        <w:wordWrap/>
        <w:overflowPunct/>
        <w:topLinePunct w:val="0"/>
        <w:autoSpaceDE/>
        <w:autoSpaceDN/>
        <w:bidi w:val="0"/>
        <w:adjustRightInd/>
        <w:snapToGrid w:val="0"/>
        <w:spacing w:line="360" w:lineRule="auto"/>
        <w:ind w:left="93" w:leftChars="0" w:hanging="93" w:firstLineChars="0"/>
        <w:textAlignment w:val="auto"/>
        <w:rPr>
          <w:rFonts w:hint="eastAsia"/>
          <w:lang w:val="en-US" w:eastAsia="zh-CN"/>
        </w:rPr>
      </w:pPr>
      <w:r>
        <w:rPr>
          <w:rFonts w:hint="eastAsia"/>
          <w:lang w:val="en-US" w:eastAsia="zh-CN"/>
        </w:rPr>
        <w:t>技术技能</w:t>
      </w:r>
    </w:p>
    <w:p>
      <w:pPr>
        <w:keepNext w:val="0"/>
        <w:keepLines w:val="0"/>
        <w:pageBreakBefore w:val="0"/>
        <w:numPr>
          <w:ilvl w:val="0"/>
          <w:numId w:val="7"/>
        </w:numPr>
        <w:kinsoku/>
        <w:wordWrap/>
        <w:overflowPunct/>
        <w:topLinePunct w:val="0"/>
        <w:autoSpaceDE/>
        <w:autoSpaceDN/>
        <w:bidi w:val="0"/>
        <w:adjustRightInd/>
        <w:snapToGrid w:val="0"/>
        <w:spacing w:line="360" w:lineRule="auto"/>
        <w:ind w:left="93" w:leftChars="0" w:hanging="93" w:firstLineChars="0"/>
        <w:textAlignment w:val="auto"/>
        <w:rPr>
          <w:rFonts w:hint="eastAsia"/>
          <w:lang w:val="en-US" w:eastAsia="zh-CN"/>
        </w:rPr>
      </w:pPr>
      <w:r>
        <w:rPr>
          <w:rFonts w:hint="eastAsia"/>
          <w:lang w:val="en-US" w:eastAsia="zh-CN"/>
        </w:rPr>
        <w:t>严格评价技能</w:t>
      </w:r>
    </w:p>
    <w:p>
      <w:pPr>
        <w:keepNext w:val="0"/>
        <w:keepLines w:val="0"/>
        <w:pageBreakBefore w:val="0"/>
        <w:numPr>
          <w:ilvl w:val="0"/>
          <w:numId w:val="7"/>
        </w:numPr>
        <w:kinsoku/>
        <w:wordWrap/>
        <w:overflowPunct/>
        <w:topLinePunct w:val="0"/>
        <w:autoSpaceDE/>
        <w:autoSpaceDN/>
        <w:bidi w:val="0"/>
        <w:adjustRightInd/>
        <w:snapToGrid w:val="0"/>
        <w:spacing w:line="360" w:lineRule="auto"/>
        <w:ind w:left="93" w:leftChars="0" w:hanging="93" w:firstLineChars="0"/>
        <w:textAlignment w:val="auto"/>
        <w:rPr>
          <w:rFonts w:hint="eastAsia"/>
          <w:lang w:val="en-US" w:eastAsia="zh-CN"/>
        </w:rPr>
      </w:pPr>
      <w:r>
        <w:rPr>
          <w:rFonts w:hint="eastAsia"/>
          <w:lang w:val="en-US" w:eastAsia="zh-CN"/>
        </w:rPr>
        <w:t>特定的指南制定知识（例GRADE）</w:t>
      </w:r>
    </w:p>
    <w:p>
      <w:pPr>
        <w:keepNext w:val="0"/>
        <w:keepLines w:val="0"/>
        <w:pageBreakBefore w:val="0"/>
        <w:numPr>
          <w:ilvl w:val="0"/>
          <w:numId w:val="7"/>
        </w:numPr>
        <w:kinsoku/>
        <w:wordWrap/>
        <w:overflowPunct/>
        <w:topLinePunct w:val="0"/>
        <w:autoSpaceDE/>
        <w:autoSpaceDN/>
        <w:bidi w:val="0"/>
        <w:adjustRightInd/>
        <w:snapToGrid w:val="0"/>
        <w:spacing w:line="360" w:lineRule="auto"/>
        <w:ind w:left="93" w:leftChars="0" w:hanging="93" w:firstLineChars="0"/>
        <w:textAlignment w:val="auto"/>
        <w:rPr>
          <w:rFonts w:hint="eastAsia"/>
          <w:lang w:val="en-US" w:eastAsia="zh-CN"/>
        </w:rPr>
      </w:pPr>
      <w:r>
        <w:rPr>
          <w:rFonts w:hint="eastAsia"/>
          <w:lang w:val="en-US" w:eastAsia="zh-CN"/>
        </w:rPr>
        <w:t>有效参与小组的策略(例如自信)</w:t>
      </w:r>
    </w:p>
    <w:p>
      <w:pPr>
        <w:keepNext w:val="0"/>
        <w:keepLines w:val="0"/>
        <w:pageBreakBefore w:val="0"/>
        <w:numPr>
          <w:ilvl w:val="0"/>
          <w:numId w:val="7"/>
        </w:numPr>
        <w:kinsoku/>
        <w:wordWrap/>
        <w:overflowPunct/>
        <w:topLinePunct w:val="0"/>
        <w:autoSpaceDE/>
        <w:autoSpaceDN/>
        <w:bidi w:val="0"/>
        <w:adjustRightInd/>
        <w:snapToGrid w:val="0"/>
        <w:spacing w:line="360" w:lineRule="auto"/>
        <w:ind w:left="93" w:leftChars="0" w:hanging="93" w:firstLineChars="0"/>
        <w:textAlignment w:val="auto"/>
        <w:rPr>
          <w:rFonts w:hint="eastAsia"/>
          <w:lang w:val="en-US" w:eastAsia="zh-CN"/>
        </w:rPr>
      </w:pPr>
      <w:r>
        <w:rPr>
          <w:rFonts w:hint="eastAsia"/>
          <w:lang w:val="en-US" w:eastAsia="zh-CN"/>
        </w:rPr>
        <w:t>建立积极的工作关系管理小组动态</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提供培训有不同的形式。它可以由内部组织、外部组织、患者组织或国际协会（例如欧洲肺脏基金会）提供，也可以是自我指导的(例如在线培训)。大型组织可能更有能力提供面对面或电子培训，这在较小的组织中是不可能的。组织可以选择使用涵盖研究和严格评价技能的课程。如果内部或外部组织都不能提供培训，则存在支持自主学习的免费在线资源。一些组织向患者和公众提供免费的在线课程，包括Cochrane和CUE—消费者联合循证医疗保健组织。可以在资源文件2中找到提供免费培训的课程和网站列表。</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b/>
          <w:bCs/>
          <w:lang w:val="en-US" w:eastAsia="zh-CN"/>
        </w:rPr>
      </w:pPr>
      <w:r>
        <w:rPr>
          <w:rFonts w:hint="eastAsia"/>
          <w:b/>
          <w:bCs/>
          <w:lang w:val="en-US" w:eastAsia="zh-CN"/>
        </w:rPr>
        <w:t>共同学习</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患者和公众有效参与的一个基本原则是共同学习（Nguyen et al. 2020）。共同学习与培训不同，因为它主要是非正式的，并且是一个持续的过程，应该贯穿于整个指南的制定过程中。这是患者和公众成员、专业成员和指南制定团队共同教授、学习和分享研究知识和技能的过程。 该过程也使专业成员受益。有几种鼓励共同学习的方法：</w:t>
      </w:r>
    </w:p>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 xml:space="preserve">提供有关指南制定方法和流程、研究策略以及会议开始时从综述中获取到的证据概述的培训。这可以是由技术团队向整个团队进行演示或口头描述的形式，也让团队有机会讨论他们的理解。演示文稿或学习资源也可以在适当的时候于会议之前发送。 </w:t>
      </w:r>
    </w:p>
    <w:p>
      <w:pPr>
        <w:keepNext w:val="0"/>
        <w:keepLines w:val="0"/>
        <w:pageBreakBefore w:val="0"/>
        <w:numPr>
          <w:ilvl w:val="0"/>
          <w:numId w:val="7"/>
        </w:numPr>
        <w:kinsoku/>
        <w:wordWrap/>
        <w:overflowPunct/>
        <w:topLinePunct w:val="0"/>
        <w:autoSpaceDE/>
        <w:autoSpaceDN/>
        <w:bidi w:val="0"/>
        <w:adjustRightInd/>
        <w:snapToGrid w:val="0"/>
        <w:spacing w:line="360" w:lineRule="auto"/>
        <w:ind w:left="93" w:leftChars="0" w:hanging="93" w:firstLineChars="0"/>
        <w:textAlignment w:val="auto"/>
        <w:rPr>
          <w:rFonts w:hint="eastAsia"/>
          <w:lang w:val="en-US" w:eastAsia="zh-CN"/>
        </w:rPr>
      </w:pPr>
      <w:r>
        <w:rPr>
          <w:rFonts w:hint="eastAsia"/>
          <w:lang w:val="en-US" w:eastAsia="zh-CN"/>
        </w:rPr>
        <w:t xml:space="preserve">为不同工作组的所有文档和部分提供在线存储库，其中可能包括患者组成员的特定部分。 </w:t>
      </w:r>
    </w:p>
    <w:p>
      <w:pPr>
        <w:keepNext w:val="0"/>
        <w:keepLines w:val="0"/>
        <w:pageBreakBefore w:val="0"/>
        <w:numPr>
          <w:ilvl w:val="0"/>
          <w:numId w:val="7"/>
        </w:numPr>
        <w:kinsoku/>
        <w:wordWrap/>
        <w:overflowPunct/>
        <w:topLinePunct w:val="0"/>
        <w:autoSpaceDE/>
        <w:autoSpaceDN/>
        <w:bidi w:val="0"/>
        <w:adjustRightInd/>
        <w:snapToGrid w:val="0"/>
        <w:spacing w:line="360" w:lineRule="auto"/>
        <w:ind w:left="93" w:leftChars="0" w:hanging="93" w:firstLineChars="0"/>
        <w:textAlignment w:val="auto"/>
        <w:rPr>
          <w:rFonts w:hint="eastAsia"/>
          <w:lang w:val="en-US" w:eastAsia="zh-CN"/>
        </w:rPr>
      </w:pPr>
      <w:r>
        <w:rPr>
          <w:rFonts w:hint="eastAsia"/>
          <w:lang w:val="en-US" w:eastAsia="zh-CN"/>
        </w:rPr>
        <w:t xml:space="preserve">避免使用行话，在会议中解释技术术语，并拥有医学术语表，或与指南相关的定义和缩略词。专业会员应该知道，解释医学缩略词和术语也是他们的责任。不同的专业团体可能对同一概念有不同的术语或使用相同的术语，但含义不同。 </w:t>
      </w:r>
    </w:p>
    <w:p>
      <w:pPr>
        <w:keepNext w:val="0"/>
        <w:keepLines w:val="0"/>
        <w:pageBreakBefore w:val="0"/>
        <w:numPr>
          <w:ilvl w:val="0"/>
          <w:numId w:val="7"/>
        </w:numPr>
        <w:kinsoku/>
        <w:wordWrap/>
        <w:overflowPunct/>
        <w:topLinePunct w:val="0"/>
        <w:autoSpaceDE/>
        <w:autoSpaceDN/>
        <w:bidi w:val="0"/>
        <w:adjustRightInd/>
        <w:snapToGrid w:val="0"/>
        <w:spacing w:line="360" w:lineRule="auto"/>
        <w:ind w:left="93" w:leftChars="0" w:hanging="93" w:firstLineChars="0"/>
        <w:textAlignment w:val="auto"/>
        <w:rPr>
          <w:rFonts w:hint="eastAsia"/>
          <w:lang w:val="en-US" w:eastAsia="zh-CN"/>
        </w:rPr>
      </w:pPr>
      <w:r>
        <w:rPr>
          <w:rFonts w:hint="eastAsia"/>
          <w:lang w:val="en-US" w:eastAsia="zh-CN"/>
        </w:rPr>
        <w:t xml:space="preserve">以工具包或“提示和技巧”文件的形式提供资源，告知个人他们的角色、流程和支持其工作的资源。 </w:t>
      </w:r>
    </w:p>
    <w:p>
      <w:pPr>
        <w:keepNext w:val="0"/>
        <w:keepLines w:val="0"/>
        <w:pageBreakBefore w:val="0"/>
        <w:numPr>
          <w:ilvl w:val="0"/>
          <w:numId w:val="7"/>
        </w:numPr>
        <w:kinsoku/>
        <w:wordWrap/>
        <w:overflowPunct/>
        <w:topLinePunct w:val="0"/>
        <w:autoSpaceDE/>
        <w:autoSpaceDN/>
        <w:bidi w:val="0"/>
        <w:adjustRightInd/>
        <w:snapToGrid w:val="0"/>
        <w:spacing w:line="360" w:lineRule="auto"/>
        <w:ind w:left="93" w:leftChars="0" w:hanging="93" w:firstLineChars="0"/>
        <w:textAlignment w:val="auto"/>
        <w:rPr>
          <w:rFonts w:hint="eastAsia"/>
          <w:lang w:val="en-US" w:eastAsia="zh-CN"/>
        </w:rPr>
      </w:pPr>
      <w:r>
        <w:rPr>
          <w:rFonts w:hint="eastAsia"/>
          <w:lang w:val="en-US" w:eastAsia="zh-CN"/>
        </w:rPr>
        <w:t xml:space="preserve">举办针对特定主题的非专业研讨会，例如卫生经济学。 </w:t>
      </w:r>
    </w:p>
    <w:p>
      <w:pPr>
        <w:keepNext w:val="0"/>
        <w:keepLines w:val="0"/>
        <w:pageBreakBefore w:val="0"/>
        <w:numPr>
          <w:ilvl w:val="0"/>
          <w:numId w:val="7"/>
        </w:numPr>
        <w:kinsoku/>
        <w:wordWrap/>
        <w:overflowPunct/>
        <w:topLinePunct w:val="0"/>
        <w:autoSpaceDE/>
        <w:autoSpaceDN/>
        <w:bidi w:val="0"/>
        <w:adjustRightInd/>
        <w:snapToGrid w:val="0"/>
        <w:spacing w:line="360" w:lineRule="auto"/>
        <w:ind w:left="93" w:leftChars="0" w:hanging="93" w:firstLineChars="0"/>
        <w:textAlignment w:val="auto"/>
        <w:rPr>
          <w:rFonts w:hint="eastAsia"/>
          <w:lang w:val="en-US" w:eastAsia="zh-CN"/>
        </w:rPr>
      </w:pPr>
      <w:r>
        <w:rPr>
          <w:rFonts w:hint="eastAsia"/>
          <w:lang w:val="en-US" w:eastAsia="zh-CN"/>
        </w:rPr>
        <w:t xml:space="preserve">提供与其他患者和公众成员交流的机会，可以是面对面的，也可以是通过在线论坛。 </w:t>
      </w:r>
    </w:p>
    <w:p>
      <w:pPr>
        <w:keepNext w:val="0"/>
        <w:keepLines w:val="0"/>
        <w:pageBreakBefore w:val="0"/>
        <w:numPr>
          <w:ilvl w:val="0"/>
          <w:numId w:val="7"/>
        </w:numPr>
        <w:kinsoku/>
        <w:wordWrap/>
        <w:overflowPunct/>
        <w:topLinePunct w:val="0"/>
        <w:autoSpaceDE/>
        <w:autoSpaceDN/>
        <w:bidi w:val="0"/>
        <w:adjustRightInd/>
        <w:snapToGrid w:val="0"/>
        <w:spacing w:line="360" w:lineRule="auto"/>
        <w:ind w:left="93" w:leftChars="0" w:hanging="93" w:firstLineChars="0"/>
        <w:textAlignment w:val="auto"/>
        <w:rPr>
          <w:rFonts w:hint="eastAsia"/>
          <w:lang w:val="en-US" w:eastAsia="zh-CN"/>
        </w:rPr>
      </w:pPr>
      <w:r>
        <w:rPr>
          <w:rFonts w:hint="eastAsia"/>
          <w:lang w:val="en-US" w:eastAsia="zh-CN"/>
        </w:rPr>
        <w:t xml:space="preserve">提供对在线期刊的免费访问。 </w:t>
      </w:r>
    </w:p>
    <w:p>
      <w:pPr>
        <w:keepNext w:val="0"/>
        <w:keepLines w:val="0"/>
        <w:pageBreakBefore w:val="0"/>
        <w:numPr>
          <w:ilvl w:val="0"/>
          <w:numId w:val="7"/>
        </w:numPr>
        <w:kinsoku/>
        <w:wordWrap/>
        <w:overflowPunct/>
        <w:topLinePunct w:val="0"/>
        <w:autoSpaceDE/>
        <w:autoSpaceDN/>
        <w:bidi w:val="0"/>
        <w:adjustRightInd/>
        <w:snapToGrid w:val="0"/>
        <w:spacing w:line="360" w:lineRule="auto"/>
        <w:ind w:left="93" w:leftChars="0" w:hanging="93" w:firstLineChars="0"/>
        <w:textAlignment w:val="auto"/>
        <w:rPr>
          <w:rFonts w:hint="eastAsia"/>
          <w:lang w:val="en-US" w:eastAsia="zh-CN"/>
        </w:rPr>
      </w:pPr>
      <w:r>
        <w:rPr>
          <w:rFonts w:hint="eastAsia"/>
          <w:lang w:val="en-US" w:eastAsia="zh-CN"/>
        </w:rPr>
        <w:t xml:space="preserve">与主要联系人定期联系以讨论任何想法和问题。 </w:t>
      </w:r>
    </w:p>
    <w:p>
      <w:pPr>
        <w:keepNext w:val="0"/>
        <w:keepLines w:val="0"/>
        <w:pageBreakBefore w:val="0"/>
        <w:numPr>
          <w:ilvl w:val="0"/>
          <w:numId w:val="7"/>
        </w:numPr>
        <w:kinsoku/>
        <w:wordWrap/>
        <w:overflowPunct/>
        <w:topLinePunct w:val="0"/>
        <w:autoSpaceDE/>
        <w:autoSpaceDN/>
        <w:bidi w:val="0"/>
        <w:adjustRightInd/>
        <w:snapToGrid w:val="0"/>
        <w:spacing w:line="360" w:lineRule="auto"/>
        <w:ind w:left="93" w:leftChars="0" w:hanging="93" w:firstLineChars="0"/>
        <w:textAlignment w:val="auto"/>
        <w:rPr>
          <w:rFonts w:hint="eastAsia"/>
          <w:lang w:val="en-US" w:eastAsia="zh-CN"/>
        </w:rPr>
      </w:pPr>
      <w:r>
        <w:rPr>
          <w:rFonts w:hint="eastAsia"/>
          <w:lang w:val="en-US" w:eastAsia="zh-CN"/>
        </w:rPr>
        <w:t>提供绩效反馈以鼓励学习和发展。</w:t>
      </w:r>
    </w:p>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共同学习是一个值得考虑的过程，尤其是在您的组织无法提供正式培训的情况下。 可以在小组开始之前或制定期间以午餐、活动、研讨会的形式或通过向人们提供其他患者和公众成员的联系方式来提供交流机会。 新成员可以结识更有经验的患者成员并讨论指南制定过程或如何有效地做出贡献。 在制定过程中，患者和公众成员可能愿意通过共享联系方式相互支持，但需要遵守当地数据保护规则，未经许可不得共享详细信息。</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b/>
          <w:bCs/>
          <w:lang w:val="en-US" w:eastAsia="zh-CN"/>
        </w:rPr>
      </w:pPr>
      <w:r>
        <w:rPr>
          <w:rFonts w:hint="eastAsia"/>
          <w:b/>
          <w:bCs/>
          <w:lang w:val="en-US" w:eastAsia="zh-CN"/>
        </w:rPr>
        <w:t>实践中的培训和共同学习</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NICE为新患者和公众成员提供了正式的全天培训活动（面对面或通过Zoom虚拟进行），包括演讲和小组练习，涉及以下内容：研究术语，指南制定过程，GRADE系统的使用，小组工作和技能，作出推荐，并有机会向经验丰富的患者和公众成员学习。同样，ÄZQ最初会评估患者和公众成员的培训需求，并向他们提供阅读材料，例如“验证疗法”（Evans et al. 2011）。如果需要的话，ÄZQ会根据他们的培训需求提供一整天的培训，或者更短的时间。数字模块也使用软件提供，如带有音频旁白的微软幻灯片。</w:t>
      </w:r>
    </w:p>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在共同学习方面，NICE的“公众参与”团队在第一次小组会议上就患者和公众参与进行了演讲。指南制定人员团队提供有关指南制定过程，成员的角色和职责以及卫生经济学的简短培训。所有学习材料在会议之前发送给了成员。技术或研究负责人可以回答所有小组成员的任何问题。为患者或公众成员提供纸质或数字资源和信息工具包，以便有效地开展工作。在一些指南开始之前，他们还有机会与经验丰富的非专业人士见面。他们的主要联系人还将通过电话或电子邮件提供各个阶段的知识，包括咨询，发布和采取支持指南实施的行动。</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b/>
          <w:bCs/>
          <w:lang w:val="en-US" w:eastAsia="zh-CN"/>
        </w:rPr>
      </w:pPr>
      <w:r>
        <w:rPr>
          <w:rFonts w:hint="eastAsia"/>
          <w:b/>
          <w:bCs/>
          <w:lang w:val="en-US" w:eastAsia="zh-CN"/>
        </w:rPr>
        <w:t>重新评估和反馈</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促进共同发展的另一种策略是通过重新评估角色和期望，并在整个指南制定过程中就患者和公众成员的表现提供反馈（Shippee et al. 2015）。这个过程可以确定发展领域，可以通过进一步的培训和共同学习来解决。它还可以帮助解决与绩效相关的障碍，例如不贡献或不参加，或宣扬自己的议程，这会破坏指南。该过程还可以强调需要其他实践支持策略和该成员影响最大的领域。</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提供反馈可以确保参与者的持续提升，对于确保在整个制定过程中有意义和有价值的参与非常重要。对于那些委员会经验有限的人来说，可以通过确认他们正在以可接受的标准履行职责并做出有效的贡献来增强信心。此外，它可以确保成员感到受到支持和重视，从而通过赋予个人权力来提高参与度。对于NICE上超过1年的某些指南项目，在电话登记过程中每6个月在电话登记期间进行一次角色评估和反馈，或者每年由小组主席提供更正式的反馈。</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b/>
          <w:bCs/>
          <w:lang w:val="en-US" w:eastAsia="zh-CN"/>
        </w:rPr>
      </w:pPr>
      <w:r>
        <w:rPr>
          <w:rFonts w:hint="eastAsia"/>
          <w:b/>
          <w:bCs/>
          <w:lang w:val="en-US" w:eastAsia="zh-CN"/>
        </w:rPr>
        <w:t>管理小组动态</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关于团体如何形成和表现的心理学和社会学文献有很多，包括创造生产性群体的因素以及权力动态和地位对团体生产力的影响（例如，Forsyth, 2019）。权力动态可能是由于年龄、性别、种族、文化和社会经济地位而产生的结果，主要通过陈规定型观念在无意识层面的运作（例如，Guinote and Vescio 2010中所述）。有许多关于该主题有用的论述，这超出了本章的范围，其中一些内容在进一步阅读的部分中列出。</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了解团体动态很重要，可以帮助指南制定小组有效运作，并确保纳入患者和公众成员的见解。这一责任主要由小组主席或主持人承担，一些有用的一般策略是:</w:t>
      </w:r>
    </w:p>
    <w:p>
      <w:pPr>
        <w:keepNext w:val="0"/>
        <w:keepLines w:val="0"/>
        <w:pageBreakBefore w:val="0"/>
        <w:numPr>
          <w:ilvl w:val="0"/>
          <w:numId w:val="7"/>
        </w:numPr>
        <w:kinsoku/>
        <w:wordWrap/>
        <w:overflowPunct/>
        <w:topLinePunct w:val="0"/>
        <w:autoSpaceDE/>
        <w:autoSpaceDN/>
        <w:bidi w:val="0"/>
        <w:adjustRightInd/>
        <w:snapToGrid w:val="0"/>
        <w:spacing w:line="360" w:lineRule="auto"/>
        <w:ind w:left="93" w:leftChars="0" w:hanging="93" w:firstLineChars="0"/>
        <w:textAlignment w:val="auto"/>
        <w:rPr>
          <w:rFonts w:hint="eastAsia"/>
          <w:lang w:val="en-US" w:eastAsia="zh-CN"/>
        </w:rPr>
      </w:pPr>
      <w:r>
        <w:rPr>
          <w:rFonts w:hint="eastAsia"/>
          <w:lang w:val="en-US" w:eastAsia="zh-CN"/>
        </w:rPr>
        <w:t>强调患者和公众参与的重要性：考虑尽早向指南制定小组介绍患者和公众参与的重要性。强调这些成员具有同等的地位和宝贵的贡献，并举例说明患者和公众成员在哪些方面对以前的指南产生了影响。</w:t>
      </w:r>
    </w:p>
    <w:p>
      <w:pPr>
        <w:keepNext w:val="0"/>
        <w:keepLines w:val="0"/>
        <w:pageBreakBefore w:val="0"/>
        <w:numPr>
          <w:ilvl w:val="0"/>
          <w:numId w:val="7"/>
        </w:numPr>
        <w:kinsoku/>
        <w:wordWrap/>
        <w:overflowPunct/>
        <w:topLinePunct w:val="0"/>
        <w:autoSpaceDE/>
        <w:autoSpaceDN/>
        <w:bidi w:val="0"/>
        <w:adjustRightInd/>
        <w:snapToGrid w:val="0"/>
        <w:spacing w:line="360" w:lineRule="auto"/>
        <w:ind w:left="93" w:leftChars="0" w:hanging="93" w:firstLineChars="0"/>
        <w:textAlignment w:val="auto"/>
        <w:rPr>
          <w:rFonts w:hint="eastAsia"/>
          <w:lang w:val="en-US" w:eastAsia="zh-CN"/>
        </w:rPr>
      </w:pPr>
      <w:r>
        <w:rPr>
          <w:rFonts w:hint="eastAsia"/>
          <w:lang w:val="en-US" w:eastAsia="zh-CN"/>
        </w:rPr>
        <w:t>主席培训:向主席简要介绍，以防止在会议中使用医学术语和其他术语，这些术语可能会导致将患者排除在外。确保他们具备举办有效和包容性会议的技能，并理解有意义的患者或公众参与的重要性（请参阅关于主席如何促进如何招募和支持患者和公众，以及克服其参与障碍的章节）。在NICE，主席被分配到他们没有专业经验的主题上，以便他们保持客观并限制偏见，而不是试图发表自己的意见。</w:t>
      </w:r>
    </w:p>
    <w:p>
      <w:pPr>
        <w:keepNext w:val="0"/>
        <w:keepLines w:val="0"/>
        <w:pageBreakBefore w:val="0"/>
        <w:numPr>
          <w:ilvl w:val="0"/>
          <w:numId w:val="7"/>
        </w:numPr>
        <w:kinsoku/>
        <w:wordWrap/>
        <w:overflowPunct/>
        <w:topLinePunct w:val="0"/>
        <w:autoSpaceDE/>
        <w:autoSpaceDN/>
        <w:bidi w:val="0"/>
        <w:adjustRightInd/>
        <w:snapToGrid w:val="0"/>
        <w:spacing w:line="360" w:lineRule="auto"/>
        <w:ind w:left="93" w:leftChars="0" w:hanging="93" w:firstLineChars="0"/>
        <w:textAlignment w:val="auto"/>
        <w:rPr>
          <w:rFonts w:hint="eastAsia"/>
          <w:lang w:val="en-US" w:eastAsia="zh-CN"/>
        </w:rPr>
      </w:pPr>
      <w:r>
        <w:rPr>
          <w:rFonts w:hint="eastAsia"/>
          <w:lang w:val="en-US" w:eastAsia="zh-CN"/>
        </w:rPr>
        <w:t>会议管理：患者和公众成员不应坐在会议的孤立区域，并且应能够引起主席的注意。应该向主席简要介绍如何让患者和公众成员参与到对话中，一些小组发现针对与指南相关的患者和公共事务制定一个具体的议程项目是有帮助的。</w:t>
      </w:r>
    </w:p>
    <w:p>
      <w:pPr>
        <w:keepNext w:val="0"/>
        <w:keepLines w:val="0"/>
        <w:pageBreakBefore w:val="0"/>
        <w:numPr>
          <w:ilvl w:val="0"/>
          <w:numId w:val="7"/>
        </w:numPr>
        <w:kinsoku/>
        <w:wordWrap/>
        <w:overflowPunct/>
        <w:topLinePunct w:val="0"/>
        <w:autoSpaceDE/>
        <w:autoSpaceDN/>
        <w:bidi w:val="0"/>
        <w:adjustRightInd/>
        <w:snapToGrid w:val="0"/>
        <w:spacing w:line="360" w:lineRule="auto"/>
        <w:ind w:left="93" w:leftChars="0" w:hanging="93" w:firstLineChars="0"/>
        <w:textAlignment w:val="auto"/>
        <w:rPr>
          <w:rFonts w:hint="eastAsia"/>
          <w:lang w:val="en-US" w:eastAsia="zh-CN"/>
        </w:rPr>
      </w:pPr>
      <w:r>
        <w:rPr>
          <w:rFonts w:hint="eastAsia"/>
          <w:lang w:val="en-US" w:eastAsia="zh-CN"/>
        </w:rPr>
        <w:t>建立关系：鼓励个人在小组中找到潜在的盟友，他们可以在会议期间为患者和公众成员提供支持。如果个人在需要通过电子邮件、电话和其他数字通信方式联系时举行的，则应考虑替代方法。</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即将到来的关于主席如何促进患者和公众参与的一章有关于这个主题的更多信息。向患者和公众成员保证他们的经历可能与其他患者和公众成员不同是很重要的。确认鼓励这种意见分歧，他们应该与指南小组分享这一点。</w:t>
      </w:r>
    </w:p>
    <w:p>
      <w:pPr>
        <w:keepNext w:val="0"/>
        <w:keepLines w:val="0"/>
        <w:pageBreakBefore w:val="0"/>
        <w:kinsoku/>
        <w:wordWrap/>
        <w:overflowPunct/>
        <w:topLinePunct w:val="0"/>
        <w:autoSpaceDE/>
        <w:autoSpaceDN/>
        <w:bidi w:val="0"/>
        <w:adjustRightInd/>
        <w:snapToGrid w:val="0"/>
        <w:spacing w:line="360" w:lineRule="auto"/>
        <w:textAlignment w:val="auto"/>
        <w:rPr>
          <w:rFonts w:hint="eastAsia"/>
          <w:b/>
          <w:bCs/>
          <w:lang w:val="en-US" w:eastAsia="zh-CN"/>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b/>
          <w:bCs/>
          <w:lang w:val="en-US" w:eastAsia="zh-CN"/>
        </w:rPr>
      </w:pPr>
      <w:r>
        <w:rPr>
          <w:rFonts w:hint="eastAsia"/>
          <w:b/>
          <w:bCs/>
          <w:sz w:val="24"/>
          <w:szCs w:val="32"/>
          <w:lang w:val="en-US" w:eastAsia="zh-CN"/>
        </w:rPr>
        <w:t xml:space="preserve">第四部分 </w:t>
      </w:r>
      <w:r>
        <w:rPr>
          <w:rFonts w:hint="eastAsia"/>
          <w:b/>
          <w:bCs/>
          <w:lang w:val="en-US" w:eastAsia="zh-CN"/>
        </w:rPr>
        <w:t>克服阻碍因素，让少数人群参与到指南制订过程中</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在指南制定过程中，根据目标和范围，有可能需要纳入一些特殊人群，比如儿童和年轻人、处在特殊环境中的人群（如监狱）、有学习障碍的人和有严重和复杂心理健康问题的人。</w:t>
      </w:r>
    </w:p>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Theme="minorHAnsi" w:hAnsiTheme="minorHAnsi" w:eastAsiaTheme="minorEastAsia" w:cstheme="minorBidi"/>
          <w:kern w:val="2"/>
          <w:sz w:val="21"/>
          <w:szCs w:val="24"/>
          <w:lang w:val="en-US" w:eastAsia="zh-CN" w:bidi="ar-SA"/>
        </w:rPr>
      </w:pP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由于人群的特殊性，他们可能无法像一般人群那样成为指南制订小组的正式成员。因此，我们需要考虑除让其父母、照顾者和支持者参与指南制订环节外的其他方法，包括参照群体（reference group）、患者和公众观点的其他数据来源、患者及公众的专家经验以及研究咨询。</w:t>
      </w:r>
    </w:p>
    <w:p>
      <w:pPr>
        <w:keepNext w:val="0"/>
        <w:keepLines w:val="0"/>
        <w:pageBreakBefore w:val="0"/>
        <w:kinsoku/>
        <w:wordWrap/>
        <w:overflowPunct/>
        <w:topLinePunct w:val="0"/>
        <w:autoSpaceDE/>
        <w:autoSpaceDN/>
        <w:bidi w:val="0"/>
        <w:adjustRightInd/>
        <w:snapToGrid w:val="0"/>
        <w:spacing w:line="360" w:lineRule="auto"/>
        <w:ind w:firstLine="0"/>
        <w:textAlignment w:val="auto"/>
        <w:rPr>
          <w:rFonts w:hint="eastAsia"/>
          <w:b w:val="0"/>
          <w:bCs w:val="0"/>
          <w:highlight w:val="none"/>
        </w:rPr>
      </w:pPr>
    </w:p>
    <w:p>
      <w:pPr>
        <w:keepNext w:val="0"/>
        <w:keepLines w:val="0"/>
        <w:pageBreakBefore w:val="0"/>
        <w:kinsoku/>
        <w:wordWrap/>
        <w:overflowPunct/>
        <w:topLinePunct w:val="0"/>
        <w:autoSpaceDE/>
        <w:autoSpaceDN/>
        <w:bidi w:val="0"/>
        <w:adjustRightInd/>
        <w:snapToGrid w:val="0"/>
        <w:spacing w:line="360" w:lineRule="auto"/>
        <w:ind w:firstLine="0"/>
        <w:textAlignment w:val="auto"/>
        <w:rPr>
          <w:rFonts w:hint="eastAsia"/>
          <w:b/>
          <w:bCs/>
          <w:szCs w:val="24"/>
          <w:highlight w:val="none"/>
        </w:rPr>
      </w:pPr>
      <w:r>
        <w:rPr>
          <w:rFonts w:hint="eastAsia"/>
          <w:b/>
          <w:bCs/>
          <w:highlight w:val="none"/>
        </w:rPr>
        <w:t>参考群体</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参考群体是指一组接受过相关(医疗)服务或经历过某种特定疾病的人群。通常，当指南制定小组难以直接与目标患者和公众群体（比如儿童）进行沟通交流以获得他们的有效参与时，我们可以通过联系一个现有的参考群体组织（如宝妈群）或者成立一个参考群体，让他们与患者及公众进行交流并提炼病人的观点及需求。由于参考群里会接触到各种不同情况、治疗和护理经历，或来自特定社会人口特征的人，进而产生更广泛的患者及照顾者观点。</w:t>
      </w:r>
    </w:p>
    <w:p>
      <w:pPr>
        <w:keepNext w:val="0"/>
        <w:keepLines w:val="0"/>
        <w:pageBreakBefore w:val="0"/>
        <w:kinsoku/>
        <w:wordWrap/>
        <w:overflowPunct/>
        <w:topLinePunct w:val="0"/>
        <w:autoSpaceDE/>
        <w:autoSpaceDN/>
        <w:bidi w:val="0"/>
        <w:adjustRightInd/>
        <w:snapToGrid w:val="0"/>
        <w:spacing w:line="360" w:lineRule="auto"/>
        <w:ind w:firstLine="420"/>
        <w:textAlignment w:val="auto"/>
        <w:rPr>
          <w:b/>
          <w:bCs/>
          <w:highlight w:val="none"/>
        </w:rPr>
      </w:pPr>
    </w:p>
    <w:p>
      <w:pPr>
        <w:keepNext w:val="0"/>
        <w:keepLines w:val="0"/>
        <w:pageBreakBefore w:val="0"/>
        <w:kinsoku/>
        <w:wordWrap/>
        <w:overflowPunct/>
        <w:topLinePunct w:val="0"/>
        <w:autoSpaceDE/>
        <w:autoSpaceDN/>
        <w:bidi w:val="0"/>
        <w:adjustRightInd/>
        <w:snapToGrid w:val="0"/>
        <w:spacing w:line="360" w:lineRule="auto"/>
        <w:ind w:firstLine="0"/>
        <w:textAlignment w:val="auto"/>
        <w:rPr>
          <w:rFonts w:hint="eastAsia"/>
          <w:b/>
          <w:bCs/>
          <w:highlight w:val="none"/>
        </w:rPr>
      </w:pPr>
      <w:r>
        <w:rPr>
          <w:rFonts w:hint="eastAsia"/>
          <w:b/>
          <w:bCs/>
          <w:highlight w:val="none"/>
        </w:rPr>
        <w:t>患者和公众观点的其他数据来源</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除了可以直接获取关于患者和公众观点的一些数据，我们可以利用其他来源数据。比如同行评审的相关文献，患者相关的网站里也能找到的患者的观点和经验，比如www.healthtalk.org/young-peoples-experiences。另外还可以通过调查利益相关者组织来发现关于患者和公众观点和经验的相关信息。如苏格兰，NICE在开始制订指南之前，会联系相关的患者组织和慈善机构(SIGN，2019年)，并邀请他们对指南应该关注的重要问题发表意见。</w:t>
      </w:r>
    </w:p>
    <w:p>
      <w:pPr>
        <w:keepNext w:val="0"/>
        <w:keepLines w:val="0"/>
        <w:pageBreakBefore w:val="0"/>
        <w:kinsoku/>
        <w:wordWrap/>
        <w:overflowPunct/>
        <w:topLinePunct w:val="0"/>
        <w:autoSpaceDE/>
        <w:autoSpaceDN/>
        <w:bidi w:val="0"/>
        <w:adjustRightInd/>
        <w:snapToGrid w:val="0"/>
        <w:spacing w:line="360" w:lineRule="auto"/>
        <w:ind w:firstLine="420"/>
        <w:textAlignment w:val="auto"/>
        <w:rPr>
          <w:szCs w:val="21"/>
          <w:highlight w:val="none"/>
        </w:rPr>
      </w:pPr>
    </w:p>
    <w:p>
      <w:pPr>
        <w:keepNext w:val="0"/>
        <w:keepLines w:val="0"/>
        <w:pageBreakBefore w:val="0"/>
        <w:kinsoku/>
        <w:wordWrap/>
        <w:overflowPunct/>
        <w:topLinePunct w:val="0"/>
        <w:autoSpaceDE/>
        <w:autoSpaceDN/>
        <w:bidi w:val="0"/>
        <w:adjustRightInd/>
        <w:snapToGrid w:val="0"/>
        <w:spacing w:line="360" w:lineRule="auto"/>
        <w:ind w:firstLine="0"/>
        <w:textAlignment w:val="auto"/>
        <w:rPr>
          <w:rFonts w:hint="eastAsia"/>
          <w:b/>
          <w:bCs/>
          <w:highlight w:val="none"/>
        </w:rPr>
      </w:pPr>
      <w:r>
        <w:rPr>
          <w:rFonts w:hint="eastAsia"/>
          <w:b/>
          <w:bCs/>
          <w:highlight w:val="none"/>
        </w:rPr>
        <w:t>患者和公众专家证词（public expert testimony）</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在指南制定过程中，当来自患者的观点或经验相关的证据存在不足时而难以形成推荐意见时，可选择在共识会上邀请患者和公众专家以当面、书面或视频的方式呈现他们的观点和意见，随后指南制定小组结合这些观点和意见进行推荐意见的最终决策，并且会将专家证词公开在网上。</w:t>
      </w:r>
    </w:p>
    <w:p>
      <w:pPr>
        <w:keepNext w:val="0"/>
        <w:keepLines w:val="0"/>
        <w:pageBreakBefore w:val="0"/>
        <w:kinsoku/>
        <w:wordWrap/>
        <w:overflowPunct/>
        <w:topLinePunct w:val="0"/>
        <w:autoSpaceDE/>
        <w:autoSpaceDN/>
        <w:bidi w:val="0"/>
        <w:adjustRightInd/>
        <w:snapToGrid w:val="0"/>
        <w:spacing w:line="360" w:lineRule="auto"/>
        <w:ind w:firstLine="420"/>
        <w:jc w:val="left"/>
        <w:textAlignment w:val="auto"/>
        <w:rPr>
          <w:rFonts w:hint="eastAsia"/>
          <w:szCs w:val="24"/>
          <w:highlight w:val="none"/>
        </w:rPr>
      </w:pPr>
    </w:p>
    <w:p>
      <w:pPr>
        <w:keepNext w:val="0"/>
        <w:keepLines w:val="0"/>
        <w:pageBreakBefore w:val="0"/>
        <w:kinsoku/>
        <w:wordWrap/>
        <w:overflowPunct/>
        <w:topLinePunct w:val="0"/>
        <w:autoSpaceDE/>
        <w:autoSpaceDN/>
        <w:bidi w:val="0"/>
        <w:adjustRightInd/>
        <w:snapToGrid w:val="0"/>
        <w:spacing w:line="360" w:lineRule="auto"/>
        <w:ind w:firstLine="0"/>
        <w:textAlignment w:val="auto"/>
        <w:rPr>
          <w:rFonts w:hint="eastAsia"/>
          <w:b/>
          <w:bCs/>
          <w:highlight w:val="none"/>
        </w:rPr>
      </w:pPr>
      <w:r>
        <w:rPr>
          <w:rFonts w:hint="eastAsia"/>
          <w:b/>
          <w:bCs/>
          <w:highlight w:val="none"/>
        </w:rPr>
        <w:t>采用研究方法进行咨询</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当某主题缺乏高质量证据支持并且通过以上方法都没有很好的解答时，一些指南制订人员可以考虑采用调查、焦点小组和访谈等方法咨询受影响人群。比如自闭症指南指定项目中，由于指南中所有的推荐意见都是基于不具有代表性的质性研究结果而形成的，因此，他们形成指南初稿之后就通过焦点组和一对一访谈的方式获取了自闭症儿童和青年人对指南推荐意见的看法。关于如何采用研究方法进行咨询，可以参考GIN手册中的“Chapter 1: How to conduct public and targeted consultation”。</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211" w:firstLineChars="100"/>
        <w:textAlignment w:val="auto"/>
        <w:rPr>
          <w:rFonts w:hint="eastAsia"/>
          <w:b/>
          <w:bCs/>
          <w:sz w:val="21"/>
          <w:szCs w:val="21"/>
          <w:lang w:val="en-US" w:eastAsia="zh-CN"/>
        </w:rPr>
      </w:pPr>
    </w:p>
    <w:p>
      <w:pPr>
        <w:keepNext w:val="0"/>
        <w:keepLines w:val="0"/>
        <w:pageBreakBefore w:val="0"/>
        <w:numPr>
          <w:ilvl w:val="0"/>
          <w:numId w:val="0"/>
        </w:numPr>
        <w:kinsoku/>
        <w:wordWrap/>
        <w:overflowPunct/>
        <w:topLinePunct w:val="0"/>
        <w:autoSpaceDE/>
        <w:autoSpaceDN/>
        <w:bidi w:val="0"/>
        <w:adjustRightInd/>
        <w:snapToGrid w:val="0"/>
        <w:spacing w:line="360" w:lineRule="auto"/>
        <w:textAlignment w:val="auto"/>
        <w:rPr>
          <w:rFonts w:hint="eastAsia"/>
          <w:b/>
          <w:bCs/>
          <w:sz w:val="21"/>
          <w:szCs w:val="21"/>
          <w:lang w:val="en-US" w:eastAsia="zh-CN"/>
        </w:rPr>
      </w:pPr>
      <w:r>
        <w:rPr>
          <w:rFonts w:hint="eastAsia"/>
          <w:b/>
          <w:bCs/>
          <w:sz w:val="21"/>
          <w:szCs w:val="21"/>
          <w:lang w:val="en-US" w:eastAsia="zh-CN"/>
        </w:rPr>
        <w:t>让特殊人群参与指南制订</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textAlignment w:val="auto"/>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指南制订人员可能会制订一系列主题指南，然而某些特殊人群参与指南制订仍面临阻碍，为此我们将介绍以下三类特殊人群的参与：儿童和青少年、学习障碍人群以及患有严重和复杂的精神疾病人群。</w:t>
      </w:r>
    </w:p>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①儿童和青少年：《联合国儿童权利公约》（UNICEF 2016）规定了儿童参与影响其生活的决定和被听取意见的权利。然而，指南制订人员发现让儿童和青少年参与指南制订很困难，关于何时以及如何让儿童及青少年参与存在诸多问题(Schalkers et al. 2017)。对于该类问题有以下解决策略。</w:t>
      </w:r>
    </w:p>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1）何时让儿童参与指南制订：当指南特别关注影响这一群体的情况，或治疗或疾病影响儿童与成年人存在不同时，指南制订者应该咨询儿童和年轻人的观点(Schalkers et al. 2017)。同时，指南制订人员还需要在某些指南中优先考虑儿童和青少年的参与。Schalkers等人的（2017）列出了支持该情况的14条准则，其中排名前三的准则分别是该指南对儿童有明确的预期的健康益处；专业人员认为该指南为儿童所需要的；该指南在关于儿童的治疗方面，专业人员之间存在分歧。而最不重要的重要是，当疾病的预期医疗成本很高，缺乏科学证据，以及重点是药物治疗时。</w:t>
      </w:r>
    </w:p>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2）父母或照顾者是否应该提供孩子的观点：在NICE，如果孩子不满16岁，家长可能需要参与指南制订小组。虽然NICE承认父母和照顾者可以带来有价值的见解，但他们不应该被视为儿童的代理人。如果指南制订人员有可用的资源，就可以与外部组织或利益相关者组织合作，借助专业知识和网络来征求儿童的意见。</w:t>
      </w:r>
    </w:p>
    <w:p>
      <w:pPr>
        <w:keepNext w:val="0"/>
        <w:keepLines w:val="0"/>
        <w:pageBreakBefore w:val="0"/>
        <w:widowControl/>
        <w:kinsoku/>
        <w:wordWrap/>
        <w:overflowPunct/>
        <w:topLinePunct w:val="0"/>
        <w:autoSpaceDE/>
        <w:autoSpaceDN/>
        <w:bidi w:val="0"/>
        <w:adjustRightInd/>
        <w:snapToGrid w:val="0"/>
        <w:spacing w:line="360" w:lineRule="auto"/>
        <w:textAlignment w:val="auto"/>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3）如何让儿童和青少年参与和引出他们的观点：NICE已开发了一种系统的方法，该方法在NICE指南制订手册中有详细概述，以确保将儿童和青少人的观点纳入相关主题的指南制订中(NICE2020b)。但对于幼儿，可能需要来自外部组织的专业指导和培训。同时，在涉及到16至25岁的儿童和青少年时，尤其是敏感主题下，可考虑的以下一般策略：如通过制订明确的目标，并采用灵活的工作方式，让儿童及青少年参与；考虑采取保护儿童安全和福利的措施；作出调整，如提供与年龄相适应的培训，确保主席在会议期间提出具体问题，以及允许儿童有规律的休息。此外，SIGN也曾让儿童及青少年参与其儿童和青少年癫痫诊断和管理指南的制订，并在皇家儿科和儿童健康学院（Royal College of Paediatrics and Child Health）中就如何让儿童和青少年参与指南制订提供了指导（2018; see the section on further reading）。</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208" w:firstLineChars="100"/>
        <w:textAlignment w:val="auto"/>
        <w:rPr>
          <w:rFonts w:hint="eastAsia"/>
          <w:spacing w:val="-1"/>
          <w:highlight w:val="none"/>
          <w:lang w:val="en-US" w:eastAsia="zh-CN"/>
        </w:rPr>
      </w:pPr>
    </w:p>
    <w:p>
      <w:pPr>
        <w:keepNext w:val="0"/>
        <w:keepLines w:val="0"/>
        <w:pageBreakBefore w:val="0"/>
        <w:widowControl/>
        <w:kinsoku/>
        <w:wordWrap/>
        <w:overflowPunct/>
        <w:topLinePunct w:val="0"/>
        <w:autoSpaceDE/>
        <w:autoSpaceDN/>
        <w:bidi w:val="0"/>
        <w:adjustRightInd/>
        <w:snapToGrid w:val="0"/>
        <w:spacing w:line="360" w:lineRule="auto"/>
        <w:textAlignment w:val="auto"/>
        <w:rPr>
          <w:rFonts w:hint="default"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②学习障碍人群：当前学习障碍人群及其照顾者越来越多地参与指南制订小组(Caldwell et al. 2008)。但指南制订人员必须考虑合理调整会议内容和实践过程，以鼓励有意义的参与。NICE学习障碍指南在其实践中提供了相关的可考虑的调整策略，主要包括会议的可及性、沟通方式调整、环境调整、财政支持以及交通五大类。如会议的可及性需注意为学习障碍人群提供方便的会议地点，会议节奏不宜过快等；沟通方式需考虑是否需要手语翻译，以及封闭字幕服务和助听器等；环境方面需考虑无味的会议环境或有特定照明的房间；财政支持方面需考虑提供儿童保育支持或支付照顾者、护工或其他支持者的费用，以及提供酬金或津贴等；交通方面需提供可选择的交通方式，如出租车或出租车往返家，火车站，机场和汽车等。此外，还需注意的是，在整个指南制订过程中，需要通过个人和主席的定期联系和反馈对支持和合理的调整进行维护和持续评估。</w:t>
      </w:r>
    </w:p>
    <w:p>
      <w:pPr>
        <w:keepNext w:val="0"/>
        <w:keepLines w:val="0"/>
        <w:pageBreakBefore w:val="0"/>
        <w:widowControl/>
        <w:kinsoku/>
        <w:wordWrap/>
        <w:overflowPunct/>
        <w:topLinePunct w:val="0"/>
        <w:autoSpaceDE/>
        <w:autoSpaceDN/>
        <w:bidi w:val="0"/>
        <w:adjustRightInd/>
        <w:snapToGrid w:val="0"/>
        <w:spacing w:line="360" w:lineRule="auto"/>
        <w:textAlignment w:val="auto"/>
        <w:rPr>
          <w:rFonts w:hint="default"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③患有严重或复杂精神疾病的人群</w:t>
      </w:r>
      <w:r>
        <w:rPr>
          <w:rFonts w:hint="eastAsia" w:cstheme="minorBidi"/>
          <w:kern w:val="2"/>
          <w:sz w:val="21"/>
          <w:szCs w:val="24"/>
          <w:lang w:val="en-US" w:eastAsia="zh-CN" w:bidi="ar-SA"/>
        </w:rPr>
        <w:t>：</w:t>
      </w:r>
      <w:r>
        <w:rPr>
          <w:rFonts w:hint="eastAsia" w:asciiTheme="minorHAnsi" w:hAnsiTheme="minorHAnsi" w:eastAsiaTheme="minorEastAsia" w:cstheme="minorBidi"/>
          <w:kern w:val="2"/>
          <w:sz w:val="21"/>
          <w:szCs w:val="24"/>
          <w:lang w:val="en-US" w:eastAsia="zh-CN" w:bidi="ar-SA"/>
        </w:rPr>
        <w:t>生活中患有严重或复杂精神健康状况的人（如精神错乱、酒精滥用或精神分裂症）在参与指南制订中仍面临阻碍(van der Ham et al. 2014)。van der Ham等研究者认为我们需要考虑以下特殊的促进和阻碍因素，包括价值和贡献、招募和代表性、感兴趣的主题和范围、推出和支持。如感兴趣的主题和范围：我们需考虑的是精神疾病患者可能对传统生物医学不感兴趣，而对整体治疗、社会支持、生活质量和非医疗影响更感兴趣，如保留就业的能力。</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420" w:firstLineChars="0"/>
        <w:textAlignment w:val="auto"/>
        <w:rPr>
          <w:rFonts w:hint="eastAsia"/>
          <w:sz w:val="21"/>
          <w:szCs w:val="21"/>
          <w:lang w:val="en-US" w:eastAsia="zh-CN"/>
        </w:rPr>
      </w:pPr>
    </w:p>
    <w:p>
      <w:pPr>
        <w:pStyle w:val="5"/>
        <w:rPr>
          <w:rFonts w:hint="eastAsia" w:eastAsia="宋体"/>
          <w:lang w:eastAsia="zh-CN"/>
        </w:rPr>
      </w:pPr>
      <w:r>
        <w:rPr>
          <w:rFonts w:hint="eastAsia" w:eastAsia="宋体"/>
          <w:lang w:eastAsia="zh-CN"/>
        </w:rPr>
        <w:t>参考文献</w:t>
      </w:r>
    </w:p>
    <w:p>
      <w:pPr>
        <w:pStyle w:val="5"/>
      </w:pPr>
      <w:r>
        <w:t xml:space="preserve">Armstrong MJ and Bloom JA (2017b) </w:t>
      </w:r>
      <w:r>
        <w:fldChar w:fldCharType="begin"/>
      </w:r>
      <w:r>
        <w:instrText xml:space="preserve"> HYPERLINK "https://researchinvolvement.biomedcentral.com/articles/10.1186/s40900-017-0070-2" </w:instrText>
      </w:r>
      <w:r>
        <w:fldChar w:fldCharType="separate"/>
      </w:r>
      <w:r>
        <w:rPr>
          <w:rStyle w:val="19"/>
        </w:rPr>
        <w:t>Patient involvement in guidelines is poor five years after institute of medicine standards: review of guideline methodologies</w:t>
      </w:r>
      <w:r>
        <w:rPr>
          <w:rStyle w:val="19"/>
        </w:rPr>
        <w:fldChar w:fldCharType="end"/>
      </w:r>
      <w:r>
        <w:t>. Research Involvement and Engagement 3:19</w:t>
      </w:r>
    </w:p>
    <w:p>
      <w:pPr>
        <w:pStyle w:val="5"/>
      </w:pPr>
      <w:r>
        <w:t xml:space="preserve">Armstrong MJ, Mullins CD, Gronseth GS et al. (2017a) </w:t>
      </w:r>
      <w:r>
        <w:fldChar w:fldCharType="begin"/>
      </w:r>
      <w:r>
        <w:instrText xml:space="preserve"> HYPERLINK "https://journals.plos.org/plosone/article?id=10.1371/journal.pone.0174329" </w:instrText>
      </w:r>
      <w:r>
        <w:fldChar w:fldCharType="separate"/>
      </w:r>
      <w:r>
        <w:rPr>
          <w:rStyle w:val="19"/>
        </w:rPr>
        <w:t>Recommendations for patient engagement in guideline development panels: A qualitative focus group study of guideline-naïve patients</w:t>
      </w:r>
      <w:r>
        <w:rPr>
          <w:rStyle w:val="19"/>
        </w:rPr>
        <w:fldChar w:fldCharType="end"/>
      </w:r>
      <w:r>
        <w:t>. PLOS ONE 12(3): e0174329</w:t>
      </w:r>
    </w:p>
    <w:p>
      <w:pPr>
        <w:pStyle w:val="5"/>
      </w:pPr>
      <w:r>
        <w:t xml:space="preserve">Armstrong MJ, Rueda J-D, Gronseth GS et al. (2017c) </w:t>
      </w:r>
      <w:r>
        <w:fldChar w:fldCharType="begin"/>
      </w:r>
      <w:r>
        <w:instrText xml:space="preserve"> HYPERLINK "https://onlinelibrary.wiley.com/doi/full/10.1111/hex.12467" </w:instrText>
      </w:r>
      <w:r>
        <w:fldChar w:fldCharType="separate"/>
      </w:r>
      <w:r>
        <w:rPr>
          <w:rStyle w:val="19"/>
        </w:rPr>
        <w:t>Framework for enhancing clinical practice guidelines through continuous patient engagement</w:t>
      </w:r>
      <w:r>
        <w:rPr>
          <w:rStyle w:val="19"/>
        </w:rPr>
        <w:fldChar w:fldCharType="end"/>
      </w:r>
      <w:r>
        <w:t>. Health Expectations 20(1): 3–10</w:t>
      </w:r>
    </w:p>
    <w:p>
      <w:pPr>
        <w:pStyle w:val="5"/>
      </w:pPr>
      <w:r>
        <w:t>Arnstein SR (1969) A ladder of citizen participation. Journal of the American Institute of Planners 35(4):216–24</w:t>
      </w:r>
    </w:p>
    <w:p>
      <w:pPr>
        <w:pStyle w:val="5"/>
      </w:pPr>
      <w:r>
        <w:t xml:space="preserve">Boivin A, Currie K, Fervers B et al. (2010) </w:t>
      </w:r>
      <w:r>
        <w:fldChar w:fldCharType="begin"/>
      </w:r>
      <w:r>
        <w:instrText xml:space="preserve"> HYPERLINK "https://europepmc.org/article/med/20427302" </w:instrText>
      </w:r>
      <w:r>
        <w:fldChar w:fldCharType="separate"/>
      </w:r>
      <w:r>
        <w:rPr>
          <w:rStyle w:val="19"/>
        </w:rPr>
        <w:t>Patient and public involvement in clinical guidelines: international experiences and future perspectives</w:t>
      </w:r>
      <w:r>
        <w:rPr>
          <w:rStyle w:val="19"/>
        </w:rPr>
        <w:fldChar w:fldCharType="end"/>
      </w:r>
      <w:r>
        <w:t>. BMJ Quality &amp; Safety in Health Care 19(5): e22</w:t>
      </w:r>
    </w:p>
    <w:p>
      <w:pPr>
        <w:pStyle w:val="5"/>
      </w:pPr>
      <w:r>
        <w:t>Boivin A, Green J, van der Meulen J et al. (2009) Why consider patients’ preferences? A discourse analysis of clinical practice guideline developers. Medical Care 47(8): 908–15</w:t>
      </w:r>
    </w:p>
    <w:p>
      <w:pPr>
        <w:pStyle w:val="5"/>
      </w:pPr>
      <w:r>
        <w:t>Caldwell J, Hauss S and Stark B (2008) Participation of individuals with developmental disabilities and families on advisory boards and committees. Journal of Disability Policy Studies 20(2): 101–09</w:t>
      </w:r>
    </w:p>
    <w:p>
      <w:pPr>
        <w:pStyle w:val="5"/>
      </w:pPr>
      <w:r>
        <w:t xml:space="preserve">Carroll S, Embuldeniya G, Abelson J et al. (2017) </w:t>
      </w:r>
      <w:r>
        <w:fldChar w:fldCharType="begin"/>
      </w:r>
      <w:r>
        <w:instrText xml:space="preserve"> HYPERLINK "https://www.ncbi.nlm.nih.gov/pmc/articles/PMC5602467/" </w:instrText>
      </w:r>
      <w:r>
        <w:fldChar w:fldCharType="separate"/>
      </w:r>
      <w:r>
        <w:rPr>
          <w:rStyle w:val="19"/>
        </w:rPr>
        <w:t>Questioning patient engagement: research scientists’ perceptions of the challenges of patient engagement in a cardiovascular research network</w:t>
      </w:r>
      <w:r>
        <w:rPr>
          <w:rStyle w:val="19"/>
        </w:rPr>
        <w:fldChar w:fldCharType="end"/>
      </w:r>
      <w:r>
        <w:t>. Patient Preference and Adherence 11:1573–83</w:t>
      </w:r>
    </w:p>
    <w:p>
      <w:pPr>
        <w:pStyle w:val="5"/>
      </w:pPr>
      <w:r>
        <w:t>Doorbar P, McClarey M, Royal College of Nursing and Action for Sick Children (1999) Ouch! Sort it out: children’s experience of pain. London: Royal College of Nursing</w:t>
      </w:r>
    </w:p>
    <w:p>
      <w:pPr>
        <w:pStyle w:val="5"/>
      </w:pPr>
      <w:r>
        <w:t>Evans I, Thornton H, Chalmers I et al. (2011) Testing treatments: better research for better healthcare. London: Pinter &amp; Martin</w:t>
      </w:r>
    </w:p>
    <w:p>
      <w:pPr>
        <w:pStyle w:val="5"/>
      </w:pPr>
      <w:r>
        <w:t>Fielding J, Roscoe H and Leng G (2018) An innovative approach to including the voice of children and young people in guidelines – an evaluation.14th Guideline International Network (G-I-N) Conference. Manchester, 11-14 September</w:t>
      </w:r>
    </w:p>
    <w:p>
      <w:pPr>
        <w:pStyle w:val="5"/>
      </w:pPr>
      <w:r>
        <w:t>Gibson F (2007) Conducting focus groups with children and young people: strategies for success. Journal of Research in Nursing 12(5): 473–83</w:t>
      </w:r>
    </w:p>
    <w:p>
      <w:pPr>
        <w:pStyle w:val="5"/>
      </w:pPr>
      <w:r>
        <w:t xml:space="preserve">Helsedirektoratel [The Norwegian Directorate of Health] (2013) </w:t>
      </w:r>
      <w:r>
        <w:fldChar w:fldCharType="begin"/>
      </w:r>
      <w:r>
        <w:instrText xml:space="preserve"> HYPERLINK "http://www.helsebiblioteket.no/retningslinjer/psykoselidelser/15.nasjonale-faglige" </w:instrText>
      </w:r>
      <w:r>
        <w:fldChar w:fldCharType="separate"/>
      </w:r>
      <w:r>
        <w:rPr>
          <w:rStyle w:val="19"/>
        </w:rPr>
        <w:t>Utredning, behandling og oppfølging av personer med psykoselidelser. Metode og prosess</w:t>
      </w:r>
      <w:r>
        <w:rPr>
          <w:rStyle w:val="19"/>
        </w:rPr>
        <w:fldChar w:fldCharType="end"/>
      </w:r>
      <w:r>
        <w:t>.</w:t>
      </w:r>
    </w:p>
    <w:p>
      <w:pPr>
        <w:pStyle w:val="5"/>
      </w:pPr>
      <w:r>
        <w:t xml:space="preserve">INVOLVE (2011) </w:t>
      </w:r>
      <w:r>
        <w:fldChar w:fldCharType="begin"/>
      </w:r>
      <w:r>
        <w:instrText xml:space="preserve"> HYPERLINK "https://www.invo.org.uk/posttypepublication/what-you-need-to-know-about-payment-2/" </w:instrText>
      </w:r>
      <w:r>
        <w:fldChar w:fldCharType="separate"/>
      </w:r>
      <w:r>
        <w:rPr>
          <w:rStyle w:val="19"/>
        </w:rPr>
        <w:t>What you need to know about payment: an introductory guide for members of the public who are considering active involvement in NHS, public health or social care research</w:t>
      </w:r>
      <w:r>
        <w:rPr>
          <w:rStyle w:val="19"/>
        </w:rPr>
        <w:fldChar w:fldCharType="end"/>
      </w:r>
      <w:r>
        <w:t>. INVOLVE, Eastleigh</w:t>
      </w:r>
    </w:p>
    <w:p>
      <w:pPr>
        <w:pStyle w:val="5"/>
      </w:pPr>
      <w:r>
        <w:t>Karpusheff J, Haynes C, Glen F et al. (2020) Involving people with learning disabilities in guideline development. The Patient - Patient-Centered Outcomes Research 13(2): 251–4</w:t>
      </w:r>
    </w:p>
    <w:p>
      <w:pPr>
        <w:pStyle w:val="5"/>
      </w:pPr>
      <w:r>
        <w:t>Knaapen L and Lehoux P (2016) Three conceptual models of patient and public involvement in standard-setting: from abstract principles to complex practice. Science as Culture 25(2): 239–63</w:t>
      </w:r>
    </w:p>
    <w:p>
      <w:pPr>
        <w:pStyle w:val="5"/>
      </w:pPr>
      <w:r>
        <w:t>Légaré F, Boivin A, van der Weijden T et al. (2011) Patient and public involvement in clinical practice guidelines. A knowledge synthesis of existing programs. Medical Decision Making 31(6): E45–E74</w:t>
      </w:r>
    </w:p>
    <w:p>
      <w:pPr>
        <w:pStyle w:val="5"/>
      </w:pPr>
      <w:r>
        <w:t xml:space="preserve">National Institute for Health and Care Excellence (2015) </w:t>
      </w:r>
      <w:r>
        <w:fldChar w:fldCharType="begin"/>
      </w:r>
      <w:r>
        <w:instrText xml:space="preserve"> HYPERLINK "https://www.nice.org.uk/guidance/ng10" </w:instrText>
      </w:r>
      <w:r>
        <w:fldChar w:fldCharType="separate"/>
      </w:r>
      <w:r>
        <w:rPr>
          <w:rStyle w:val="19"/>
        </w:rPr>
        <w:t>Violence and aggression: short-term management in mental health, health and community settings</w:t>
      </w:r>
      <w:r>
        <w:rPr>
          <w:rStyle w:val="19"/>
        </w:rPr>
        <w:fldChar w:fldCharType="end"/>
      </w:r>
      <w:r>
        <w:t>. NICE guideline 10</w:t>
      </w:r>
    </w:p>
    <w:p>
      <w:pPr>
        <w:pStyle w:val="5"/>
      </w:pPr>
      <w:r>
        <w:t xml:space="preserve">National Institute for Health and Care Excellence (2017) </w:t>
      </w:r>
      <w:r>
        <w:fldChar w:fldCharType="begin"/>
      </w:r>
      <w:r>
        <w:instrText xml:space="preserve"> HYPERLINK "https://www.nice.org.uk/guidance/ng76" </w:instrText>
      </w:r>
      <w:r>
        <w:fldChar w:fldCharType="separate"/>
      </w:r>
      <w:r>
        <w:rPr>
          <w:rStyle w:val="19"/>
        </w:rPr>
        <w:t>Child abuse and neglect</w:t>
      </w:r>
      <w:r>
        <w:rPr>
          <w:rStyle w:val="19"/>
        </w:rPr>
        <w:fldChar w:fldCharType="end"/>
      </w:r>
      <w:r>
        <w:t>. NICE guideline 76</w:t>
      </w:r>
    </w:p>
    <w:p>
      <w:pPr>
        <w:pStyle w:val="5"/>
      </w:pPr>
      <w:r>
        <w:t xml:space="preserve">National Institute for Health and Care Excellence (2019) </w:t>
      </w:r>
      <w:r>
        <w:fldChar w:fldCharType="begin"/>
      </w:r>
      <w:r>
        <w:instrText xml:space="preserve"> HYPERLINK "https://www.nice.org.uk/guidance/ng33" </w:instrText>
      </w:r>
      <w:r>
        <w:fldChar w:fldCharType="separate"/>
      </w:r>
      <w:r>
        <w:rPr>
          <w:rStyle w:val="19"/>
        </w:rPr>
        <w:t>Tuberculosis</w:t>
      </w:r>
      <w:r>
        <w:rPr>
          <w:rStyle w:val="19"/>
        </w:rPr>
        <w:fldChar w:fldCharType="end"/>
      </w:r>
      <w:r>
        <w:t xml:space="preserve">. NICE guideline 33 </w:t>
      </w:r>
    </w:p>
    <w:p>
      <w:pPr>
        <w:pStyle w:val="5"/>
      </w:pPr>
      <w:r>
        <w:t xml:space="preserve">National Institute for Health and Care Excellence (2020b) </w:t>
      </w:r>
      <w:r>
        <w:fldChar w:fldCharType="begin"/>
      </w:r>
      <w:r>
        <w:instrText xml:space="preserve"> HYPERLINK "https://www.nice.org.uk/process/pmg20/chapter/introduction" </w:instrText>
      </w:r>
      <w:r>
        <w:fldChar w:fldCharType="separate"/>
      </w:r>
      <w:r>
        <w:rPr>
          <w:rStyle w:val="19"/>
        </w:rPr>
        <w:t>Developing NICE guidelines: the manual</w:t>
      </w:r>
      <w:r>
        <w:rPr>
          <w:rStyle w:val="19"/>
        </w:rPr>
        <w:fldChar w:fldCharType="end"/>
      </w:r>
      <w:r>
        <w:t>. Process and methods 20</w:t>
      </w:r>
    </w:p>
    <w:p>
      <w:pPr>
        <w:pStyle w:val="5"/>
      </w:pPr>
      <w:r>
        <w:t xml:space="preserve">National Institute for Health and Care Excellence (2020a) </w:t>
      </w:r>
      <w:r>
        <w:fldChar w:fldCharType="begin"/>
      </w:r>
      <w:r>
        <w:instrText xml:space="preserve"> HYPERLINK "https://www.nice.org.uk/get-involved/our-committees/what-lay-members-do/lay-member-payments-and-expenses" </w:instrText>
      </w:r>
      <w:r>
        <w:fldChar w:fldCharType="separate"/>
      </w:r>
      <w:r>
        <w:rPr>
          <w:rStyle w:val="19"/>
        </w:rPr>
        <w:t>Lay member payments and expenses</w:t>
      </w:r>
      <w:r>
        <w:rPr>
          <w:rStyle w:val="19"/>
        </w:rPr>
        <w:fldChar w:fldCharType="end"/>
      </w:r>
      <w:r>
        <w:t xml:space="preserve"> </w:t>
      </w:r>
    </w:p>
    <w:p>
      <w:pPr>
        <w:pStyle w:val="5"/>
      </w:pPr>
      <w:r>
        <w:t>Nguyen T, Graham ID, Mrklas KJ et al. (2020) How does integrated knowledge translation (IKT) compare to other collaborative research approaches to generating and translating knowledge? Learning from experts in the field. Health Research Policy and Systems 18: 35</w:t>
      </w:r>
    </w:p>
    <w:p>
      <w:pPr>
        <w:pStyle w:val="5"/>
      </w:pPr>
      <w:r>
        <w:t xml:space="preserve">Ocloo J, Matthews R (2016) </w:t>
      </w:r>
      <w:r>
        <w:fldChar w:fldCharType="begin"/>
      </w:r>
      <w:r>
        <w:instrText xml:space="preserve"> HYPERLINK "https://qualitysafety.bmj.com/content/25/8/626" </w:instrText>
      </w:r>
      <w:r>
        <w:fldChar w:fldCharType="separate"/>
      </w:r>
      <w:r>
        <w:rPr>
          <w:rStyle w:val="19"/>
        </w:rPr>
        <w:t>From tokenism to empowerment: progressing patient and public involvement in healthcare improvement</w:t>
      </w:r>
      <w:r>
        <w:rPr>
          <w:rStyle w:val="19"/>
        </w:rPr>
        <w:fldChar w:fldCharType="end"/>
      </w:r>
      <w:r>
        <w:t>. BMJ Quality Safety 25(8): 626–32</w:t>
      </w:r>
    </w:p>
    <w:p>
      <w:pPr>
        <w:pStyle w:val="5"/>
      </w:pPr>
      <w:r>
        <w:t>Sänger S (2008) Handbuch patientenbeteiligung. Beteiligung am Programm für Nationale VersorgungsLeitlinien. Neukirchen Verl. Make A Book</w:t>
      </w:r>
    </w:p>
    <w:p>
      <w:pPr>
        <w:pStyle w:val="5"/>
      </w:pPr>
      <w:r>
        <w:t>Schalkers I, Enthoven C, Bunders J et al. (2017) When to invest in clinical guidelines for children? A practice oriented tool to facilitate decision-making. Journal of Evaluation in Clinical Practice 23(1): 79–88</w:t>
      </w:r>
    </w:p>
    <w:p>
      <w:pPr>
        <w:pStyle w:val="5"/>
      </w:pPr>
      <w:r>
        <w:t xml:space="preserve">Scottish Intercollegiate Guidelines Network (2019) </w:t>
      </w:r>
      <w:r>
        <w:fldChar w:fldCharType="begin"/>
      </w:r>
      <w:r>
        <w:instrText xml:space="preserve"> HYPERLINK "https://www.sign.ac.uk/our-guidelines/sign-100-a-handbook-for-patient-and-carer-representatives/" </w:instrText>
      </w:r>
      <w:r>
        <w:fldChar w:fldCharType="separate"/>
      </w:r>
      <w:r>
        <w:rPr>
          <w:rStyle w:val="19"/>
        </w:rPr>
        <w:t>SIGN 100: a handbook for patient and carer representatives</w:t>
      </w:r>
      <w:r>
        <w:rPr>
          <w:rStyle w:val="19"/>
        </w:rPr>
        <w:fldChar w:fldCharType="end"/>
      </w:r>
      <w:r>
        <w:t>. Edinburgh: Scottish Intercollegiate Guidelines Network</w:t>
      </w:r>
    </w:p>
    <w:p>
      <w:pPr>
        <w:pStyle w:val="5"/>
      </w:pPr>
      <w:r>
        <w:t xml:space="preserve">Shippee ND, Domecq Garces JP, Prutsky Lopez GJ et al. (2015) </w:t>
      </w:r>
      <w:r>
        <w:fldChar w:fldCharType="begin"/>
      </w:r>
      <w:r>
        <w:instrText xml:space="preserve"> HYPERLINK "https://www.ncbi.nlm.nih.gov/pmc/articles/PMC5060820/" </w:instrText>
      </w:r>
      <w:r>
        <w:fldChar w:fldCharType="separate"/>
      </w:r>
      <w:r>
        <w:rPr>
          <w:rStyle w:val="19"/>
        </w:rPr>
        <w:t>Patient and service user engagement in research: a systematic review and synthesized framework</w:t>
      </w:r>
      <w:r>
        <w:rPr>
          <w:rStyle w:val="19"/>
        </w:rPr>
        <w:fldChar w:fldCharType="end"/>
      </w:r>
      <w:r>
        <w:t>. Health Expectations 18(5): 1151–166</w:t>
      </w:r>
    </w:p>
    <w:p>
      <w:pPr>
        <w:pStyle w:val="5"/>
      </w:pPr>
      <w:r>
        <w:t xml:space="preserve">Thomson G (2020) What are AODA Standards? [online] </w:t>
      </w:r>
      <w:r>
        <w:fldChar w:fldCharType="begin"/>
      </w:r>
      <w:r>
        <w:instrText xml:space="preserve"> HYPERLINK "https://aoda.ca/what-are-aoda-standards/" </w:instrText>
      </w:r>
      <w:r>
        <w:fldChar w:fldCharType="separate"/>
      </w:r>
      <w:r>
        <w:rPr>
          <w:rStyle w:val="19"/>
        </w:rPr>
        <w:t>Accessibility for Ontarians with Disabilities Act (AODA)</w:t>
      </w:r>
      <w:r>
        <w:rPr>
          <w:rStyle w:val="19"/>
        </w:rPr>
        <w:fldChar w:fldCharType="end"/>
      </w:r>
      <w:r>
        <w:t xml:space="preserve"> </w:t>
      </w:r>
    </w:p>
    <w:p>
      <w:pPr>
        <w:pStyle w:val="5"/>
      </w:pPr>
      <w:r>
        <w:t xml:space="preserve">UNICEF (2016) </w:t>
      </w:r>
      <w:r>
        <w:fldChar w:fldCharType="begin"/>
      </w:r>
      <w:r>
        <w:instrText xml:space="preserve"> HYPERLINK "https://www.unicef.org.uk/what-we-do/un-convention-child-rights/" </w:instrText>
      </w:r>
      <w:r>
        <w:fldChar w:fldCharType="separate"/>
      </w:r>
      <w:r>
        <w:rPr>
          <w:rStyle w:val="19"/>
        </w:rPr>
        <w:t>UN Convention on the Rights of the Child (UNCRC)</w:t>
      </w:r>
      <w:r>
        <w:rPr>
          <w:rStyle w:val="19"/>
        </w:rPr>
        <w:fldChar w:fldCharType="end"/>
      </w:r>
      <w:r>
        <w:t xml:space="preserve"> Unicef UK. </w:t>
      </w:r>
    </w:p>
    <w:p>
      <w:pPr>
        <w:pStyle w:val="5"/>
      </w:pPr>
      <w:r>
        <w:t>Van der Ham AJ, Shields LS, van der Horst R et al. (2014) Facilitators and barriers to service user involvement in mental health guidelines: lessons from The Netherlands. Administration and Policy in Mental Health and Mental Health Services Research 41(6): 712–23</w:t>
      </w:r>
    </w:p>
    <w:p>
      <w:pPr>
        <w:pStyle w:val="5"/>
      </w:pPr>
      <w:r>
        <w:t xml:space="preserve">Van der Ham AJ, van Erp N and Broerse JEW (2016) </w:t>
      </w:r>
      <w:r>
        <w:fldChar w:fldCharType="begin"/>
      </w:r>
      <w:r>
        <w:instrText xml:space="preserve"> HYPERLINK "https://www.ncbi.nlm.nih.gov/pmc/articles/PMC5055266/" </w:instrText>
      </w:r>
      <w:r>
        <w:fldChar w:fldCharType="separate"/>
      </w:r>
      <w:r>
        <w:rPr>
          <w:rStyle w:val="19"/>
        </w:rPr>
        <w:t>Monitoring and evaluation of patient involvement in clinical practice guideline development: lessons from the Multidisciplinary Guideline for Employment and Severe Mental Illness, the Netherlands</w:t>
      </w:r>
      <w:r>
        <w:rPr>
          <w:rStyle w:val="19"/>
        </w:rPr>
        <w:fldChar w:fldCharType="end"/>
      </w:r>
      <w:r>
        <w:t>. Health Expectations 19(2): 471–82</w:t>
      </w:r>
    </w:p>
    <w:p>
      <w:pPr>
        <w:pStyle w:val="5"/>
      </w:pPr>
      <w:r>
        <w:t xml:space="preserve">Van Wersch A and Eccles M (2001) </w:t>
      </w:r>
      <w:r>
        <w:fldChar w:fldCharType="begin"/>
      </w:r>
      <w:r>
        <w:instrText xml:space="preserve"> HYPERLINK "https://www.ncbi.nlm.nih.gov/pmc/articles/PMC1743421/" </w:instrText>
      </w:r>
      <w:r>
        <w:fldChar w:fldCharType="separate"/>
      </w:r>
      <w:r>
        <w:rPr>
          <w:rStyle w:val="19"/>
        </w:rPr>
        <w:t>Involvement of consumers in the development of evidence based clinical guidelines: practical experiences from the North of England evidence based guideline development programme</w:t>
      </w:r>
      <w:r>
        <w:rPr>
          <w:rStyle w:val="19"/>
        </w:rPr>
        <w:fldChar w:fldCharType="end"/>
      </w:r>
      <w:r>
        <w:t>. Quality in Health Care 10(1): 10–6</w:t>
      </w:r>
    </w:p>
    <w:p>
      <w:pPr>
        <w:rPr>
          <w:rFonts w:ascii="Arial" w:hAnsi="Arial"/>
        </w:rPr>
      </w:pPr>
      <w:r>
        <w:br w:type="page"/>
      </w:r>
    </w:p>
    <w:p>
      <w:pPr>
        <w:keepNext w:val="0"/>
        <w:keepLines w:val="0"/>
        <w:pageBreakBefore w:val="0"/>
        <w:kinsoku/>
        <w:wordWrap/>
        <w:overflowPunct/>
        <w:topLinePunct w:val="0"/>
        <w:autoSpaceDE/>
        <w:autoSpaceDN/>
        <w:bidi w:val="0"/>
        <w:adjustRightInd/>
        <w:snapToGrid w:val="0"/>
        <w:spacing w:line="360" w:lineRule="auto"/>
        <w:textAlignment w:val="auto"/>
        <w:rPr>
          <w:rFonts w:hint="default" w:eastAsia="宋体"/>
          <w:sz w:val="21"/>
          <w:szCs w:val="21"/>
          <w:lang w:val="en-US" w:eastAsia="zh-CN"/>
        </w:rPr>
      </w:pPr>
      <w:r>
        <w:rPr>
          <w:rFonts w:hint="default" w:ascii="宋体" w:hAnsi="宋体" w:eastAsia="宋体" w:cs="宋体"/>
          <w:sz w:val="21"/>
          <w:szCs w:val="21"/>
        </w:rPr>
        <w:t>资源文件</w:t>
      </w:r>
      <w:r>
        <w:rPr>
          <w:rFonts w:hint="eastAsia" w:ascii="宋体" w:hAnsi="宋体" w:eastAsia="宋体" w:cs="宋体"/>
          <w:sz w:val="21"/>
          <w:szCs w:val="21"/>
          <w:lang w:val="en-US" w:eastAsia="zh-CN"/>
        </w:rPr>
        <w:t>1  角色描述的例子</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tcPr>
          <w:p>
            <w:pPr>
              <w:pStyle w:val="12"/>
              <w:rPr>
                <w:color w:val="18646E"/>
                <w:sz w:val="21"/>
                <w:szCs w:val="21"/>
              </w:rPr>
            </w:pPr>
            <w:r>
              <w:rPr>
                <w:rFonts w:hint="default" w:ascii="宋体" w:hAnsi="宋体" w:eastAsia="宋体" w:cs="宋体"/>
                <w:color w:val="18646E"/>
                <w:sz w:val="21"/>
                <w:szCs w:val="21"/>
              </w:rPr>
              <w:t>我们正在寻找什么和相关的内容</w:t>
            </w:r>
          </w:p>
          <w:p>
            <w:pPr>
              <w:pStyle w:val="3"/>
              <w:rPr>
                <w:sz w:val="21"/>
                <w:szCs w:val="21"/>
              </w:rPr>
            </w:pPr>
          </w:p>
          <w:p>
            <w:pPr>
              <w:pStyle w:val="2"/>
              <w:rPr>
                <w:sz w:val="21"/>
                <w:szCs w:val="21"/>
              </w:rPr>
            </w:pPr>
            <w:r>
              <w:rPr>
                <w:rFonts w:hint="default" w:ascii="宋体" w:hAnsi="宋体" w:eastAsia="宋体" w:cs="宋体"/>
                <w:color w:val="7030A0"/>
                <w:sz w:val="21"/>
                <w:szCs w:val="21"/>
              </w:rPr>
              <w:t>什么是非专业的成员？</w:t>
            </w:r>
          </w:p>
          <w:p>
            <w:pPr>
              <w:pStyle w:val="3"/>
              <w:rPr>
                <w:sz w:val="21"/>
                <w:szCs w:val="21"/>
              </w:rPr>
            </w:pPr>
            <w:r>
              <w:rPr>
                <w:rFonts w:hint="default" w:ascii="宋体" w:hAnsi="宋体" w:eastAsia="宋体" w:cs="宋体"/>
                <w:sz w:val="21"/>
                <w:szCs w:val="21"/>
              </w:rPr>
              <w:t>我们使用“非专业成员”一词来指我们的一个有个人使用保健或保健服务经验的委员会成员。这个短语也可以指来自受委员会主题领域影响的社区的人，或倡导者或无薪护理者。</w:t>
            </w:r>
          </w:p>
          <w:p>
            <w:pPr>
              <w:pStyle w:val="2"/>
              <w:rPr>
                <w:color w:val="7030A0"/>
                <w:sz w:val="21"/>
                <w:szCs w:val="21"/>
              </w:rPr>
            </w:pPr>
            <w:r>
              <w:rPr>
                <w:rFonts w:hint="default" w:ascii="宋体" w:hAnsi="宋体" w:eastAsia="宋体" w:cs="宋体"/>
                <w:color w:val="7030A0"/>
                <w:sz w:val="21"/>
                <w:szCs w:val="21"/>
              </w:rPr>
              <w:t>委员会会做什么？</w:t>
            </w:r>
          </w:p>
          <w:p>
            <w:pPr>
              <w:pStyle w:val="3"/>
              <w:spacing w:before="120" w:after="120"/>
              <w:rPr>
                <w:sz w:val="21"/>
                <w:szCs w:val="21"/>
              </w:rPr>
            </w:pPr>
            <w:r>
              <w:rPr>
                <w:sz w:val="21"/>
                <w:szCs w:val="21"/>
              </w:rPr>
              <w:fldChar w:fldCharType="begin"/>
            </w:r>
            <w:r>
              <w:rPr>
                <w:rFonts w:hint="default" w:ascii="宋体" w:hAnsi="宋体" w:eastAsia="宋体" w:cs="宋体"/>
                <w:sz w:val="21"/>
                <w:szCs w:val="21"/>
              </w:rPr>
              <w:instrText xml:space="preserve"> HYPERLINK "https://www.nice.org.uk/guidance/indevelopment/gid-ng10150" </w:instrText>
            </w:r>
            <w:r>
              <w:rPr>
                <w:sz w:val="21"/>
                <w:szCs w:val="21"/>
              </w:rPr>
              <w:fldChar w:fldCharType="separate"/>
            </w:r>
            <w:bookmarkStart w:id="1" w:name="_Hlk19710345"/>
            <w:r>
              <w:rPr>
                <w:rStyle w:val="19"/>
                <w:sz w:val="21"/>
                <w:szCs w:val="21"/>
              </w:rPr>
              <w:fldChar w:fldCharType="end"/>
            </w:r>
            <w:r>
              <w:rPr>
                <w:rFonts w:hint="default" w:ascii="宋体" w:hAnsi="宋体" w:eastAsia="宋体" w:cs="宋体"/>
                <w:sz w:val="21"/>
                <w:szCs w:val="21"/>
              </w:rPr>
              <w:t>委员会将研究现有的证据，并制定关于甲状腺癌的良好指导方针：评估和管理。NICE指南将是关于最佳治疗、支持和服务类型的书面建议</w:t>
            </w:r>
            <w:bookmarkEnd w:id="1"/>
            <w:r>
              <w:rPr>
                <w:rFonts w:hint="default" w:ascii="宋体" w:hAnsi="宋体" w:eastAsia="宋体" w:cs="宋体"/>
                <w:sz w:val="21"/>
                <w:szCs w:val="21"/>
              </w:rPr>
              <w:t xml:space="preserve">. </w:t>
            </w:r>
          </w:p>
          <w:p>
            <w:pPr>
              <w:pStyle w:val="3"/>
              <w:rPr>
                <w:sz w:val="21"/>
                <w:szCs w:val="21"/>
              </w:rPr>
            </w:pPr>
            <w:r>
              <w:rPr>
                <w:rFonts w:hint="default" w:ascii="宋体" w:hAnsi="宋体" w:eastAsia="宋体" w:cs="宋体"/>
                <w:sz w:val="21"/>
                <w:szCs w:val="21"/>
              </w:rPr>
              <w:t>欲了解更多关于我们的委员会及其所做什么的信息，请访问我们网站的委员会区域。</w:t>
            </w:r>
            <w:r>
              <w:rPr>
                <w:sz w:val="21"/>
                <w:szCs w:val="21"/>
              </w:rPr>
              <w:fldChar w:fldCharType="begin"/>
            </w:r>
            <w:r>
              <w:rPr>
                <w:rFonts w:hint="default" w:ascii="宋体" w:hAnsi="宋体" w:eastAsia="宋体" w:cs="宋体"/>
                <w:sz w:val="21"/>
                <w:szCs w:val="21"/>
              </w:rPr>
              <w:instrText xml:space="preserve"> HYPERLINK "https://www.nice.org.uk/Get-Involved/our-committees" </w:instrText>
            </w:r>
            <w:r>
              <w:rPr>
                <w:sz w:val="21"/>
                <w:szCs w:val="21"/>
              </w:rPr>
              <w:fldChar w:fldCharType="separate"/>
            </w:r>
            <w:r>
              <w:rPr>
                <w:rStyle w:val="19"/>
                <w:sz w:val="21"/>
                <w:szCs w:val="21"/>
              </w:rPr>
              <w:fldChar w:fldCharType="end"/>
            </w:r>
          </w:p>
          <w:p>
            <w:pPr>
              <w:pStyle w:val="2"/>
              <w:rPr>
                <w:color w:val="7030A0"/>
                <w:sz w:val="21"/>
                <w:szCs w:val="21"/>
              </w:rPr>
            </w:pPr>
            <w:r>
              <w:rPr>
                <w:rFonts w:hint="default" w:ascii="宋体" w:hAnsi="宋体" w:eastAsia="宋体" w:cs="宋体"/>
                <w:color w:val="7030A0"/>
                <w:sz w:val="21"/>
                <w:szCs w:val="21"/>
              </w:rPr>
              <w:t>我需要什么知识和经验？</w:t>
            </w:r>
          </w:p>
          <w:p>
            <w:pPr>
              <w:pStyle w:val="3"/>
              <w:spacing w:before="120" w:after="120"/>
              <w:rPr>
                <w:sz w:val="21"/>
                <w:szCs w:val="21"/>
              </w:rPr>
            </w:pPr>
            <w:r>
              <w:rPr>
                <w:rFonts w:hint="default" w:ascii="宋体" w:hAnsi="宋体" w:eastAsia="宋体" w:cs="宋体"/>
                <w:sz w:val="21"/>
                <w:szCs w:val="21"/>
              </w:rPr>
              <w:t>我们正在寻找了解甲状腺癌的人：评估和管理，以及对病人、使用服务的人、无偿护理者、社区和公众很重要的问题。</w:t>
            </w:r>
          </w:p>
          <w:p>
            <w:pPr>
              <w:pStyle w:val="3"/>
              <w:spacing w:before="120" w:after="120"/>
              <w:rPr>
                <w:sz w:val="21"/>
                <w:szCs w:val="21"/>
              </w:rPr>
            </w:pPr>
            <w:r>
              <w:rPr>
                <w:rFonts w:hint="default" w:ascii="宋体" w:hAnsi="宋体" w:eastAsia="宋体" w:cs="宋体"/>
                <w:sz w:val="21"/>
                <w:szCs w:val="21"/>
              </w:rPr>
              <w:t>作为一名非专业成员，你将有以下理解：</w:t>
            </w:r>
          </w:p>
          <w:p>
            <w:pPr>
              <w:pStyle w:val="26"/>
              <w:numPr>
                <w:ilvl w:val="0"/>
                <w:numId w:val="8"/>
              </w:numPr>
              <w:spacing w:before="120"/>
              <w:rPr>
                <w:sz w:val="21"/>
                <w:szCs w:val="21"/>
              </w:rPr>
            </w:pPr>
            <w:r>
              <w:rPr>
                <w:rFonts w:hint="default" w:ascii="宋体" w:hAnsi="宋体" w:eastAsia="宋体" w:cs="宋体"/>
                <w:sz w:val="21"/>
                <w:szCs w:val="21"/>
              </w:rPr>
              <w:t>通过个人经验，您拥有由NHS为您提供的治疗和护理</w:t>
            </w:r>
          </w:p>
          <w:p>
            <w:pPr>
              <w:pStyle w:val="26"/>
              <w:numPr>
                <w:ilvl w:val="0"/>
                <w:numId w:val="8"/>
              </w:numPr>
              <w:spacing w:before="120"/>
              <w:rPr>
                <w:sz w:val="21"/>
                <w:szCs w:val="21"/>
              </w:rPr>
            </w:pPr>
            <w:r>
              <w:rPr>
                <w:rFonts w:hint="default" w:ascii="宋体" w:hAnsi="宋体" w:eastAsia="宋体" w:cs="宋体"/>
                <w:sz w:val="21"/>
                <w:szCs w:val="21"/>
              </w:rPr>
              <w:t>作为使用过相关医疗服务的人的亲属或无薪护理人员</w:t>
            </w:r>
          </w:p>
          <w:p>
            <w:pPr>
              <w:pStyle w:val="3"/>
              <w:numPr>
                <w:ilvl w:val="0"/>
                <w:numId w:val="8"/>
              </w:numPr>
              <w:spacing w:before="120" w:after="120"/>
              <w:rPr>
                <w:sz w:val="21"/>
                <w:szCs w:val="21"/>
              </w:rPr>
            </w:pPr>
            <w:r>
              <w:rPr>
                <w:rFonts w:hint="default" w:ascii="宋体" w:hAnsi="宋体" w:eastAsia="宋体" w:cs="宋体"/>
                <w:sz w:val="21"/>
                <w:szCs w:val="21"/>
              </w:rPr>
              <w:t>作为相关慈善机构或组织的倡导者、志愿者或官员。</w:t>
            </w:r>
          </w:p>
          <w:p>
            <w:pPr>
              <w:pStyle w:val="27"/>
              <w:numPr>
                <w:ilvl w:val="0"/>
                <w:numId w:val="0"/>
              </w:numPr>
              <w:spacing w:before="120"/>
              <w:rPr>
                <w:sz w:val="21"/>
                <w:szCs w:val="21"/>
              </w:rPr>
            </w:pPr>
          </w:p>
          <w:p>
            <w:pPr>
              <w:pStyle w:val="27"/>
              <w:numPr>
                <w:ilvl w:val="0"/>
                <w:numId w:val="0"/>
              </w:numPr>
              <w:spacing w:before="120"/>
              <w:rPr>
                <w:sz w:val="21"/>
                <w:szCs w:val="21"/>
              </w:rPr>
            </w:pPr>
          </w:p>
          <w:p>
            <w:pPr>
              <w:pStyle w:val="27"/>
              <w:numPr>
                <w:ilvl w:val="0"/>
                <w:numId w:val="0"/>
              </w:numPr>
              <w:spacing w:before="120"/>
              <w:rPr>
                <w:sz w:val="21"/>
                <w:szCs w:val="21"/>
              </w:rPr>
            </w:pPr>
            <w:r>
              <w:rPr>
                <w:rFonts w:hint="default" w:ascii="宋体" w:hAnsi="宋体" w:eastAsia="宋体" w:cs="宋体"/>
                <w:sz w:val="21"/>
                <w:szCs w:val="21"/>
              </w:rPr>
              <w:t>您还将包括：</w:t>
            </w:r>
          </w:p>
          <w:p>
            <w:pPr>
              <w:pStyle w:val="27"/>
              <w:numPr>
                <w:ilvl w:val="0"/>
                <w:numId w:val="9"/>
              </w:numPr>
              <w:spacing w:before="120"/>
              <w:rPr>
                <w:sz w:val="21"/>
                <w:szCs w:val="21"/>
              </w:rPr>
            </w:pPr>
            <w:r>
              <w:rPr>
                <w:rFonts w:hint="default" w:ascii="宋体" w:hAnsi="宋体" w:eastAsia="宋体" w:cs="宋体"/>
                <w:sz w:val="21"/>
                <w:szCs w:val="21"/>
              </w:rPr>
              <w:t>良好的沟通能力和团队合作能力</w:t>
            </w:r>
          </w:p>
          <w:p>
            <w:pPr>
              <w:pStyle w:val="27"/>
              <w:numPr>
                <w:ilvl w:val="0"/>
                <w:numId w:val="9"/>
              </w:numPr>
              <w:spacing w:before="120"/>
              <w:rPr>
                <w:sz w:val="21"/>
                <w:szCs w:val="21"/>
              </w:rPr>
            </w:pPr>
            <w:r>
              <w:rPr>
                <w:rFonts w:hint="default" w:ascii="宋体" w:hAnsi="宋体" w:eastAsia="宋体" w:cs="宋体"/>
                <w:sz w:val="21"/>
                <w:szCs w:val="21"/>
              </w:rPr>
              <w:t>能够倾听和参与建设性的辩论，同时尊重他人的观点</w:t>
            </w:r>
          </w:p>
          <w:p>
            <w:pPr>
              <w:pStyle w:val="27"/>
              <w:numPr>
                <w:ilvl w:val="0"/>
                <w:numId w:val="9"/>
              </w:numPr>
              <w:spacing w:before="120"/>
              <w:rPr>
                <w:color w:val="7030A0"/>
                <w:sz w:val="21"/>
                <w:szCs w:val="21"/>
              </w:rPr>
            </w:pPr>
            <w:r>
              <w:rPr>
                <w:rFonts w:hint="default" w:ascii="宋体" w:hAnsi="宋体" w:eastAsia="宋体" w:cs="宋体"/>
                <w:sz w:val="21"/>
                <w:szCs w:val="21"/>
              </w:rPr>
              <w:t>了解很多人的经验和需求，这让你有能力在这个话题上支持一系列不同的观点。</w:t>
            </w:r>
          </w:p>
          <w:p>
            <w:pPr>
              <w:pStyle w:val="2"/>
              <w:rPr>
                <w:sz w:val="21"/>
                <w:szCs w:val="21"/>
              </w:rPr>
            </w:pPr>
            <w:r>
              <w:rPr>
                <w:rFonts w:hint="default" w:ascii="宋体" w:hAnsi="宋体" w:eastAsia="宋体" w:cs="宋体"/>
                <w:color w:val="7030A0"/>
                <w:sz w:val="21"/>
                <w:szCs w:val="21"/>
              </w:rPr>
              <w:t>谁是该委员会的成员？</w:t>
            </w:r>
          </w:p>
          <w:p>
            <w:pPr>
              <w:pStyle w:val="3"/>
              <w:spacing w:before="120" w:after="120"/>
              <w:rPr>
                <w:sz w:val="21"/>
                <w:szCs w:val="21"/>
              </w:rPr>
            </w:pPr>
            <w:r>
              <w:rPr>
                <w:sz w:val="21"/>
                <w:szCs w:val="21"/>
              </w:rPr>
              <w:fldChar w:fldCharType="begin"/>
            </w:r>
            <w:r>
              <w:rPr>
                <w:rFonts w:hint="default" w:ascii="宋体" w:hAnsi="宋体" w:eastAsia="宋体" w:cs="宋体"/>
                <w:sz w:val="21"/>
                <w:szCs w:val="21"/>
              </w:rPr>
              <w:instrText xml:space="preserve"> HYPERLINK "https://www.nice.org.uk/get-involved/our-committees/what-lay-members-do" </w:instrText>
            </w:r>
            <w:r>
              <w:rPr>
                <w:sz w:val="21"/>
                <w:szCs w:val="21"/>
              </w:rPr>
              <w:fldChar w:fldCharType="separate"/>
            </w:r>
            <w:r>
              <w:rPr>
                <w:rStyle w:val="19"/>
                <w:sz w:val="21"/>
                <w:szCs w:val="21"/>
              </w:rPr>
              <w:fldChar w:fldCharType="end"/>
            </w:r>
            <w:r>
              <w:rPr>
                <w:sz w:val="21"/>
                <w:szCs w:val="21"/>
              </w:rPr>
              <w:fldChar w:fldCharType="begin"/>
            </w:r>
            <w:r>
              <w:rPr>
                <w:rFonts w:hint="default" w:ascii="宋体" w:hAnsi="宋体" w:eastAsia="宋体" w:cs="宋体"/>
                <w:sz w:val="21"/>
                <w:szCs w:val="21"/>
              </w:rPr>
              <w:instrText xml:space="preserve"> HYPERLINK "https://www.nice.org.uk/get-involved/our-committees/what-professional-members-do" </w:instrText>
            </w:r>
            <w:r>
              <w:rPr>
                <w:sz w:val="21"/>
                <w:szCs w:val="21"/>
              </w:rPr>
              <w:fldChar w:fldCharType="separate"/>
            </w:r>
            <w:r>
              <w:rPr>
                <w:rStyle w:val="19"/>
                <w:sz w:val="21"/>
                <w:szCs w:val="21"/>
              </w:rPr>
              <w:fldChar w:fldCharType="end"/>
            </w:r>
            <w:r>
              <w:rPr>
                <w:rFonts w:hint="default" w:ascii="宋体" w:hAnsi="宋体" w:eastAsia="宋体" w:cs="宋体"/>
                <w:sz w:val="21"/>
                <w:szCs w:val="21"/>
              </w:rPr>
              <w:t>不错的教育委员会制定了我们的指导方针。除了非专业成员之外，委员会也由专业成员组成。这包括在卫生保健或社会保健领域工作的人，以及一系列其他角色。</w:t>
            </w:r>
          </w:p>
          <w:p>
            <w:pPr>
              <w:pStyle w:val="3"/>
              <w:spacing w:before="120" w:after="120"/>
              <w:rPr>
                <w:sz w:val="21"/>
                <w:szCs w:val="21"/>
              </w:rPr>
            </w:pPr>
            <w:r>
              <w:rPr>
                <w:rFonts w:hint="default" w:ascii="宋体" w:hAnsi="宋体" w:eastAsia="宋体" w:cs="宋体"/>
                <w:sz w:val="21"/>
                <w:szCs w:val="21"/>
              </w:rPr>
              <w:t>非专业人员与其他委员会成员具有同样的地位和职务。</w:t>
            </w:r>
          </w:p>
          <w:p>
            <w:pPr>
              <w:pStyle w:val="3"/>
              <w:spacing w:before="120" w:after="120"/>
              <w:rPr>
                <w:sz w:val="21"/>
                <w:szCs w:val="21"/>
              </w:rPr>
            </w:pPr>
          </w:p>
          <w:p>
            <w:pPr>
              <w:pStyle w:val="2"/>
              <w:rPr>
                <w:sz w:val="21"/>
                <w:szCs w:val="21"/>
              </w:rPr>
            </w:pPr>
            <w:r>
              <w:rPr>
                <w:rFonts w:hint="default" w:ascii="宋体" w:hAnsi="宋体" w:eastAsia="宋体" w:cs="宋体"/>
                <w:color w:val="7030A0"/>
                <w:sz w:val="21"/>
                <w:szCs w:val="21"/>
              </w:rPr>
              <w:t>这个角色涉及到什么？</w:t>
            </w:r>
          </w:p>
          <w:p>
            <w:pPr>
              <w:pStyle w:val="3"/>
              <w:numPr>
                <w:ilvl w:val="0"/>
                <w:numId w:val="10"/>
              </w:numPr>
              <w:spacing w:before="120" w:after="120"/>
              <w:rPr>
                <w:sz w:val="21"/>
                <w:szCs w:val="21"/>
              </w:rPr>
            </w:pPr>
            <w:r>
              <w:rPr>
                <w:rFonts w:hint="default" w:ascii="宋体" w:hAnsi="宋体" w:eastAsia="宋体" w:cs="宋体"/>
                <w:sz w:val="21"/>
                <w:szCs w:val="21"/>
              </w:rPr>
              <w:t>参加委员会会议（时间承诺详见下文）并参加讨论以形成指导</w:t>
            </w:r>
          </w:p>
          <w:p>
            <w:pPr>
              <w:pStyle w:val="3"/>
              <w:numPr>
                <w:ilvl w:val="0"/>
                <w:numId w:val="10"/>
              </w:numPr>
              <w:spacing w:before="120" w:after="120"/>
              <w:rPr>
                <w:sz w:val="21"/>
                <w:szCs w:val="21"/>
              </w:rPr>
            </w:pPr>
            <w:r>
              <w:rPr>
                <w:rFonts w:hint="default" w:ascii="宋体" w:hAnsi="宋体" w:eastAsia="宋体" w:cs="宋体"/>
                <w:sz w:val="21"/>
                <w:szCs w:val="21"/>
              </w:rPr>
              <w:t>阅读委员会的文件</w:t>
            </w:r>
          </w:p>
          <w:p>
            <w:pPr>
              <w:pStyle w:val="3"/>
              <w:numPr>
                <w:ilvl w:val="0"/>
                <w:numId w:val="10"/>
              </w:numPr>
              <w:spacing w:before="120" w:after="120"/>
              <w:rPr>
                <w:sz w:val="21"/>
                <w:szCs w:val="21"/>
              </w:rPr>
            </w:pPr>
            <w:r>
              <w:rPr>
                <w:rFonts w:hint="default" w:ascii="宋体" w:hAnsi="宋体" w:eastAsia="宋体" w:cs="宋体"/>
                <w:sz w:val="21"/>
                <w:szCs w:val="21"/>
              </w:rPr>
              <w:t>对会议间文件的评论</w:t>
            </w:r>
          </w:p>
          <w:p>
            <w:pPr>
              <w:pStyle w:val="3"/>
              <w:numPr>
                <w:ilvl w:val="0"/>
                <w:numId w:val="10"/>
              </w:numPr>
              <w:spacing w:before="120" w:after="120"/>
              <w:rPr>
                <w:sz w:val="21"/>
                <w:szCs w:val="21"/>
              </w:rPr>
            </w:pPr>
            <w:r>
              <w:rPr>
                <w:rFonts w:hint="default" w:ascii="宋体" w:hAnsi="宋体" w:eastAsia="宋体" w:cs="宋体"/>
                <w:sz w:val="21"/>
                <w:szCs w:val="21"/>
              </w:rPr>
              <w:t>对委员会的工作保密。</w:t>
            </w:r>
          </w:p>
          <w:p>
            <w:pPr>
              <w:pStyle w:val="3"/>
              <w:rPr>
                <w:sz w:val="21"/>
                <w:szCs w:val="21"/>
              </w:rPr>
            </w:pPr>
          </w:p>
          <w:p>
            <w:pPr>
              <w:pStyle w:val="2"/>
              <w:rPr>
                <w:sz w:val="21"/>
                <w:szCs w:val="21"/>
              </w:rPr>
            </w:pPr>
            <w:r>
              <w:rPr>
                <w:rFonts w:hint="default" w:ascii="宋体" w:hAnsi="宋体" w:eastAsia="宋体" w:cs="宋体"/>
                <w:color w:val="7030A0"/>
                <w:sz w:val="21"/>
                <w:szCs w:val="21"/>
              </w:rPr>
              <w:t>我应该做什么？</w:t>
            </w:r>
          </w:p>
          <w:p>
            <w:pPr>
              <w:pStyle w:val="3"/>
              <w:numPr>
                <w:ilvl w:val="0"/>
                <w:numId w:val="10"/>
              </w:numPr>
              <w:spacing w:before="120" w:after="120"/>
              <w:rPr>
                <w:sz w:val="21"/>
                <w:szCs w:val="21"/>
              </w:rPr>
            </w:pPr>
            <w:r>
              <w:rPr>
                <w:rFonts w:hint="default" w:ascii="宋体" w:hAnsi="宋体" w:eastAsia="宋体" w:cs="宋体"/>
                <w:sz w:val="21"/>
                <w:szCs w:val="21"/>
              </w:rPr>
              <w:t>确保委员会考虑到病人或使用保健和社会护理服务的人的意见、经验和利益。</w:t>
            </w:r>
          </w:p>
          <w:p>
            <w:pPr>
              <w:pStyle w:val="3"/>
              <w:numPr>
                <w:ilvl w:val="0"/>
                <w:numId w:val="10"/>
              </w:numPr>
              <w:spacing w:before="120" w:after="120"/>
              <w:rPr>
                <w:sz w:val="21"/>
                <w:szCs w:val="21"/>
              </w:rPr>
            </w:pPr>
            <w:r>
              <w:rPr>
                <w:rFonts w:hint="default" w:ascii="宋体" w:hAnsi="宋体" w:eastAsia="宋体" w:cs="宋体"/>
                <w:sz w:val="21"/>
                <w:szCs w:val="21"/>
              </w:rPr>
              <w:t>确定使用NHS、公共卫生或社会保健服务的人所关心的领域。</w:t>
            </w:r>
          </w:p>
          <w:p>
            <w:pPr>
              <w:pStyle w:val="3"/>
              <w:numPr>
                <w:ilvl w:val="0"/>
                <w:numId w:val="10"/>
              </w:numPr>
              <w:spacing w:before="120" w:after="120"/>
              <w:rPr>
                <w:sz w:val="21"/>
                <w:szCs w:val="21"/>
              </w:rPr>
            </w:pPr>
            <w:r>
              <w:rPr>
                <w:rFonts w:hint="default" w:ascii="宋体" w:hAnsi="宋体" w:eastAsia="宋体" w:cs="宋体"/>
                <w:sz w:val="21"/>
                <w:szCs w:val="21"/>
              </w:rPr>
              <w:t>从患者、服务用户、护理人员或社区的角度查看主题信息和指导意见草案。例如，这些信息是否解决了受指导影响的人的重要问题？该指导方针是否考虑到了他们的观点？</w:t>
            </w:r>
          </w:p>
          <w:p>
            <w:pPr>
              <w:pStyle w:val="3"/>
              <w:numPr>
                <w:ilvl w:val="0"/>
                <w:numId w:val="10"/>
              </w:numPr>
              <w:spacing w:before="120" w:after="120"/>
              <w:rPr>
                <w:sz w:val="21"/>
                <w:szCs w:val="21"/>
              </w:rPr>
            </w:pPr>
            <w:r>
              <w:rPr>
                <w:rFonts w:hint="default" w:ascii="宋体" w:hAnsi="宋体" w:eastAsia="宋体" w:cs="宋体"/>
                <w:sz w:val="21"/>
                <w:szCs w:val="21"/>
              </w:rPr>
              <w:t>确保指导考虑了来自不同背景的人。</w:t>
            </w:r>
          </w:p>
          <w:p>
            <w:pPr>
              <w:pStyle w:val="3"/>
              <w:rPr>
                <w:sz w:val="21"/>
                <w:szCs w:val="21"/>
              </w:rPr>
            </w:pPr>
          </w:p>
          <w:p>
            <w:pPr>
              <w:pStyle w:val="2"/>
              <w:rPr>
                <w:sz w:val="21"/>
                <w:szCs w:val="21"/>
              </w:rPr>
            </w:pPr>
            <w:r>
              <w:rPr>
                <w:rFonts w:hint="default" w:ascii="宋体" w:hAnsi="宋体" w:eastAsia="宋体" w:cs="宋体"/>
                <w:color w:val="7030A0"/>
                <w:sz w:val="21"/>
                <w:szCs w:val="21"/>
              </w:rPr>
              <w:t>我需要付出多少时间，时间在哪里？</w:t>
            </w:r>
          </w:p>
          <w:p>
            <w:pPr>
              <w:pStyle w:val="3"/>
              <w:rPr>
                <w:sz w:val="21"/>
                <w:szCs w:val="21"/>
              </w:rPr>
            </w:pPr>
            <w:r>
              <w:rPr>
                <w:rFonts w:hint="default" w:ascii="宋体" w:hAnsi="宋体" w:eastAsia="宋体" w:cs="宋体"/>
                <w:sz w:val="21"/>
                <w:szCs w:val="21"/>
              </w:rPr>
              <w:t>您能够参加委员会的会议很重要。</w:t>
            </w:r>
          </w:p>
          <w:p>
            <w:pPr>
              <w:pStyle w:val="3"/>
              <w:numPr>
                <w:ilvl w:val="0"/>
                <w:numId w:val="11"/>
              </w:numPr>
              <w:rPr>
                <w:sz w:val="21"/>
                <w:szCs w:val="21"/>
              </w:rPr>
            </w:pPr>
            <w:r>
              <w:rPr>
                <w:rFonts w:hint="default" w:ascii="宋体" w:hAnsi="宋体" w:eastAsia="宋体" w:cs="宋体"/>
                <w:sz w:val="21"/>
                <w:szCs w:val="21"/>
              </w:rPr>
              <w:t>该委员会的会议将于2020年5月1日起举行</w:t>
            </w:r>
          </w:p>
          <w:p>
            <w:pPr>
              <w:pStyle w:val="3"/>
              <w:numPr>
                <w:ilvl w:val="0"/>
                <w:numId w:val="11"/>
              </w:numPr>
              <w:rPr>
                <w:sz w:val="21"/>
                <w:szCs w:val="21"/>
              </w:rPr>
            </w:pPr>
            <w:r>
              <w:rPr>
                <w:rFonts w:hint="default" w:ascii="宋体" w:hAnsi="宋体" w:eastAsia="宋体" w:cs="宋体"/>
                <w:sz w:val="21"/>
                <w:szCs w:val="21"/>
              </w:rPr>
              <w:t>委员会会议通常会持续1天，但有时会举行2天的会议</w:t>
            </w:r>
          </w:p>
          <w:p>
            <w:pPr>
              <w:pStyle w:val="3"/>
              <w:numPr>
                <w:ilvl w:val="0"/>
                <w:numId w:val="11"/>
              </w:numPr>
              <w:rPr>
                <w:sz w:val="21"/>
                <w:szCs w:val="21"/>
              </w:rPr>
            </w:pPr>
            <w:r>
              <w:rPr>
                <w:rFonts w:hint="default" w:ascii="宋体" w:hAnsi="宋体" w:eastAsia="宋体" w:cs="宋体"/>
                <w:sz w:val="21"/>
                <w:szCs w:val="21"/>
              </w:rPr>
              <w:t>这些会议将每4-6周举行一次，为期18个月</w:t>
            </w:r>
          </w:p>
          <w:p>
            <w:pPr>
              <w:pStyle w:val="3"/>
              <w:numPr>
                <w:ilvl w:val="0"/>
                <w:numId w:val="11"/>
              </w:numPr>
              <w:rPr>
                <w:sz w:val="21"/>
                <w:szCs w:val="21"/>
              </w:rPr>
            </w:pPr>
            <w:r>
              <w:rPr>
                <w:rFonts w:hint="default" w:ascii="宋体" w:hAnsi="宋体" w:eastAsia="宋体" w:cs="宋体"/>
                <w:sz w:val="21"/>
                <w:szCs w:val="21"/>
              </w:rPr>
              <w:t>这些会议将在伦敦市中心举行</w:t>
            </w:r>
          </w:p>
          <w:p>
            <w:pPr>
              <w:pStyle w:val="3"/>
              <w:numPr>
                <w:ilvl w:val="0"/>
                <w:numId w:val="11"/>
              </w:numPr>
              <w:rPr>
                <w:sz w:val="21"/>
                <w:szCs w:val="21"/>
              </w:rPr>
            </w:pPr>
            <w:r>
              <w:rPr>
                <w:rFonts w:hint="default" w:ascii="宋体" w:hAnsi="宋体" w:eastAsia="宋体" w:cs="宋体"/>
                <w:sz w:val="21"/>
                <w:szCs w:val="21"/>
              </w:rPr>
              <w:t>如果您被任命，您将被邀请参加2020年5月12日在伦敦市中心举行的培训日</w:t>
            </w:r>
          </w:p>
          <w:p>
            <w:pPr>
              <w:pStyle w:val="3"/>
              <w:rPr>
                <w:sz w:val="21"/>
                <w:szCs w:val="21"/>
              </w:rPr>
            </w:pPr>
          </w:p>
          <w:p>
            <w:pPr>
              <w:pStyle w:val="2"/>
              <w:rPr>
                <w:sz w:val="21"/>
                <w:szCs w:val="21"/>
              </w:rPr>
            </w:pPr>
            <w:r>
              <w:rPr>
                <w:rFonts w:hint="default" w:ascii="宋体" w:hAnsi="宋体" w:eastAsia="宋体" w:cs="宋体"/>
                <w:color w:val="7030A0"/>
                <w:sz w:val="21"/>
                <w:szCs w:val="21"/>
              </w:rPr>
              <w:t>这里面对我有什么好处？</w:t>
            </w:r>
          </w:p>
          <w:p>
            <w:pPr>
              <w:pStyle w:val="3"/>
              <w:numPr>
                <w:ilvl w:val="0"/>
                <w:numId w:val="12"/>
              </w:numPr>
              <w:rPr>
                <w:sz w:val="21"/>
                <w:szCs w:val="21"/>
              </w:rPr>
            </w:pPr>
            <w:r>
              <w:rPr>
                <w:rFonts w:hint="default" w:ascii="宋体" w:hAnsi="宋体" w:eastAsia="宋体" w:cs="宋体"/>
                <w:sz w:val="21"/>
                <w:szCs w:val="21"/>
              </w:rPr>
              <w:t>你将帮助使国家和地方卫生和社会护理服务更好地为病人、使用服务的人、护理人员或公众服务。</w:t>
            </w:r>
          </w:p>
          <w:p>
            <w:pPr>
              <w:pStyle w:val="3"/>
              <w:numPr>
                <w:ilvl w:val="0"/>
                <w:numId w:val="12"/>
              </w:numPr>
              <w:rPr>
                <w:sz w:val="21"/>
                <w:szCs w:val="21"/>
              </w:rPr>
            </w:pPr>
            <w:r>
              <w:rPr>
                <w:rFonts w:hint="default" w:ascii="宋体" w:hAnsi="宋体" w:eastAsia="宋体" w:cs="宋体"/>
                <w:sz w:val="21"/>
                <w:szCs w:val="21"/>
              </w:rPr>
              <w:t>之前的非专业成员说，他们发现自己的信心得到了提高，并发展了其他技能，如公共演讲和批判性思维。</w:t>
            </w:r>
          </w:p>
          <w:p>
            <w:pPr>
              <w:pStyle w:val="3"/>
              <w:numPr>
                <w:ilvl w:val="0"/>
                <w:numId w:val="12"/>
              </w:numPr>
              <w:rPr>
                <w:color w:val="7030A0"/>
                <w:sz w:val="21"/>
                <w:szCs w:val="21"/>
              </w:rPr>
            </w:pPr>
            <w:r>
              <w:rPr>
                <w:rFonts w:hint="default" w:ascii="宋体" w:hAnsi="宋体" w:eastAsia="宋体" w:cs="宋体"/>
                <w:sz w:val="21"/>
                <w:szCs w:val="21"/>
              </w:rPr>
              <w:t>成为一个好委员会的成员表明你是一个专家。它还表明你能够在一个团队中工作，与医疗保健和其他专业人员一起为委员会平等贡献。</w:t>
            </w:r>
          </w:p>
          <w:p>
            <w:pPr>
              <w:pStyle w:val="2"/>
              <w:rPr>
                <w:sz w:val="21"/>
                <w:szCs w:val="21"/>
              </w:rPr>
            </w:pPr>
            <w:r>
              <w:rPr>
                <w:rFonts w:hint="eastAsia" w:ascii="宋体" w:hAnsi="宋体" w:eastAsia="宋体" w:cs="宋体"/>
                <w:color w:val="7030A0"/>
                <w:sz w:val="21"/>
                <w:szCs w:val="21"/>
                <w:lang w:val="en-US" w:eastAsia="zh-CN"/>
              </w:rPr>
              <w:t xml:space="preserve"> </w:t>
            </w:r>
            <w:r>
              <w:rPr>
                <w:rFonts w:hint="default" w:ascii="宋体" w:hAnsi="宋体" w:eastAsia="宋体" w:cs="宋体"/>
                <w:color w:val="7030A0"/>
                <w:sz w:val="21"/>
                <w:szCs w:val="21"/>
              </w:rPr>
              <w:t>我将得到哪些支持？</w:t>
            </w:r>
          </w:p>
          <w:p>
            <w:pPr>
              <w:pStyle w:val="3"/>
              <w:rPr>
                <w:sz w:val="21"/>
                <w:szCs w:val="21"/>
              </w:rPr>
            </w:pPr>
            <w:r>
              <w:rPr>
                <w:rFonts w:hint="eastAsia" w:ascii="宋体" w:hAnsi="宋体" w:eastAsia="宋体" w:cs="宋体"/>
                <w:sz w:val="21"/>
                <w:szCs w:val="21"/>
                <w:lang w:val="en-US" w:eastAsia="zh-CN"/>
              </w:rPr>
              <w:t xml:space="preserve">    </w:t>
            </w:r>
            <w:r>
              <w:rPr>
                <w:rFonts w:hint="default" w:ascii="宋体" w:hAnsi="宋体" w:eastAsia="宋体" w:cs="宋体"/>
                <w:sz w:val="21"/>
                <w:szCs w:val="21"/>
              </w:rPr>
              <w:t>公共参与团队的指定成员将在您与我们一起工作，提供帮助和支持。</w:t>
            </w:r>
          </w:p>
          <w:p>
            <w:pPr>
              <w:pStyle w:val="3"/>
              <w:rPr>
                <w:sz w:val="21"/>
                <w:szCs w:val="21"/>
              </w:rPr>
            </w:pPr>
            <w:r>
              <w:rPr>
                <w:rFonts w:hint="eastAsia" w:ascii="宋体" w:hAnsi="宋体" w:eastAsia="宋体" w:cs="宋体"/>
                <w:sz w:val="21"/>
                <w:szCs w:val="21"/>
                <w:lang w:val="en-US" w:eastAsia="zh-CN"/>
              </w:rPr>
              <w:t xml:space="preserve">    </w:t>
            </w:r>
            <w:r>
              <w:rPr>
                <w:rFonts w:hint="default" w:ascii="宋体" w:hAnsi="宋体" w:eastAsia="宋体" w:cs="宋体"/>
                <w:sz w:val="21"/>
                <w:szCs w:val="21"/>
              </w:rPr>
              <w:t>你将得到培训和指导，以确保你对委员会有信心，以及定期与你指定的联系人聊天。</w:t>
            </w:r>
          </w:p>
          <w:p>
            <w:pPr>
              <w:pStyle w:val="3"/>
              <w:rPr>
                <w:sz w:val="21"/>
                <w:szCs w:val="21"/>
              </w:rPr>
            </w:pPr>
            <w:r>
              <w:rPr>
                <w:rFonts w:hint="eastAsia" w:ascii="宋体" w:hAnsi="宋体" w:eastAsia="宋体" w:cs="宋体"/>
                <w:sz w:val="21"/>
                <w:szCs w:val="21"/>
                <w:lang w:val="en-US" w:eastAsia="zh-CN"/>
              </w:rPr>
              <w:t xml:space="preserve">    </w:t>
            </w:r>
            <w:r>
              <w:rPr>
                <w:rFonts w:hint="default" w:ascii="宋体" w:hAnsi="宋体" w:eastAsia="宋体" w:cs="宋体"/>
                <w:sz w:val="21"/>
                <w:szCs w:val="21"/>
              </w:rPr>
              <w:t>如果您有任何特殊要求，例如访问或旅行需要，我们可以与您讨论，并在需要时进行调整。</w:t>
            </w:r>
          </w:p>
          <w:p>
            <w:pPr>
              <w:pStyle w:val="2"/>
              <w:rPr>
                <w:sz w:val="21"/>
                <w:szCs w:val="21"/>
              </w:rPr>
            </w:pPr>
            <w:r>
              <w:rPr>
                <w:rFonts w:hint="default" w:ascii="宋体" w:hAnsi="宋体" w:eastAsia="宋体" w:cs="宋体"/>
                <w:color w:val="7030A0"/>
                <w:sz w:val="21"/>
                <w:szCs w:val="21"/>
              </w:rPr>
              <w:t>在我申请后会发生什么？</w:t>
            </w:r>
          </w:p>
          <w:p>
            <w:pPr>
              <w:pStyle w:val="3"/>
              <w:rPr>
                <w:sz w:val="21"/>
                <w:szCs w:val="21"/>
              </w:rPr>
            </w:pPr>
            <w:r>
              <w:rPr>
                <w:rFonts w:hint="eastAsia" w:ascii="宋体" w:hAnsi="宋体" w:eastAsia="宋体" w:cs="宋体"/>
                <w:sz w:val="21"/>
                <w:szCs w:val="21"/>
                <w:lang w:val="en-US" w:eastAsia="zh-CN"/>
              </w:rPr>
              <w:t xml:space="preserve">    </w:t>
            </w:r>
            <w:r>
              <w:rPr>
                <w:rFonts w:hint="default" w:ascii="宋体" w:hAnsi="宋体" w:eastAsia="宋体" w:cs="宋体"/>
                <w:sz w:val="21"/>
                <w:szCs w:val="21"/>
              </w:rPr>
              <w:t>公众参与小组将申请传递给管理该委员会的团队。然后，您的申请将根据本文档中规定的必要技能和能力入围。</w:t>
            </w:r>
          </w:p>
          <w:p>
            <w:pPr>
              <w:pStyle w:val="3"/>
              <w:rPr>
                <w:sz w:val="21"/>
                <w:szCs w:val="21"/>
              </w:rPr>
            </w:pPr>
            <w:r>
              <w:rPr>
                <w:rFonts w:hint="eastAsia" w:ascii="宋体" w:hAnsi="宋体" w:eastAsia="宋体" w:cs="宋体"/>
                <w:sz w:val="21"/>
                <w:szCs w:val="21"/>
                <w:lang w:val="en-US" w:eastAsia="zh-CN"/>
              </w:rPr>
              <w:t xml:space="preserve">    </w:t>
            </w:r>
            <w:r>
              <w:rPr>
                <w:rFonts w:hint="default" w:ascii="宋体" w:hAnsi="宋体" w:eastAsia="宋体" w:cs="宋体"/>
                <w:sz w:val="21"/>
                <w:szCs w:val="21"/>
              </w:rPr>
              <w:t>如果你入围，你将被联系进行电话面试，讨论这个职位、你的申请以及在正式邀请加入委员会之前涉及的内容。采访的日期已定在2020年2月14日和17日。它们将在电话上进行，持续时间不超过30分钟。</w:t>
            </w:r>
          </w:p>
          <w:p>
            <w:pPr>
              <w:pStyle w:val="2"/>
              <w:rPr>
                <w:b w:val="0"/>
                <w:bCs w:val="0"/>
                <w:kern w:val="0"/>
                <w:sz w:val="21"/>
                <w:szCs w:val="21"/>
              </w:rPr>
            </w:pPr>
          </w:p>
          <w:p>
            <w:pPr>
              <w:pStyle w:val="2"/>
              <w:rPr>
                <w:color w:val="7030A0"/>
                <w:sz w:val="21"/>
                <w:szCs w:val="21"/>
              </w:rPr>
            </w:pPr>
            <w:r>
              <w:rPr>
                <w:rFonts w:hint="default" w:ascii="宋体" w:hAnsi="宋体" w:eastAsia="宋体" w:cs="宋体"/>
                <w:color w:val="7030A0"/>
                <w:sz w:val="21"/>
                <w:szCs w:val="21"/>
              </w:rPr>
              <w:t>更多信息</w:t>
            </w:r>
          </w:p>
          <w:p>
            <w:pPr>
              <w:pStyle w:val="3"/>
              <w:spacing w:before="120" w:after="120"/>
              <w:rPr>
                <w:sz w:val="21"/>
                <w:szCs w:val="21"/>
              </w:rPr>
            </w:pPr>
            <w:r>
              <w:rPr>
                <w:rFonts w:hint="default" w:ascii="宋体" w:hAnsi="宋体" w:eastAsia="宋体" w:cs="宋体"/>
                <w:sz w:val="21"/>
                <w:szCs w:val="21"/>
              </w:rPr>
              <w:t>想了解更多关于成为这个委员会成员的信息，请阅读我们的额外信息</w:t>
            </w:r>
            <w:r>
              <w:rPr>
                <w:sz w:val="21"/>
                <w:szCs w:val="21"/>
              </w:rPr>
              <w:fldChar w:fldCharType="begin"/>
            </w:r>
            <w:r>
              <w:rPr>
                <w:rFonts w:hint="default" w:ascii="宋体" w:hAnsi="宋体" w:eastAsia="宋体" w:cs="宋体"/>
                <w:sz w:val="21"/>
                <w:szCs w:val="21"/>
              </w:rPr>
              <w:instrText xml:space="preserve"> HYPERLINK "https://www.nice.org.uk/Media/Default/Get-involved/Join-a-committee/Recruitment-pack/Information-pack-lay-applicants.pdf" </w:instrText>
            </w:r>
            <w:r>
              <w:rPr>
                <w:sz w:val="21"/>
                <w:szCs w:val="21"/>
              </w:rPr>
              <w:fldChar w:fldCharType="separate"/>
            </w:r>
            <w:r>
              <w:rPr>
                <w:rStyle w:val="19"/>
                <w:sz w:val="21"/>
                <w:szCs w:val="21"/>
              </w:rPr>
              <w:fldChar w:fldCharType="end"/>
            </w:r>
            <w:r>
              <w:rPr>
                <w:rFonts w:hint="default" w:ascii="宋体" w:hAnsi="宋体" w:eastAsia="宋体" w:cs="宋体"/>
                <w:sz w:val="21"/>
                <w:szCs w:val="21"/>
              </w:rPr>
              <w:t xml:space="preserve">. </w:t>
            </w:r>
          </w:p>
          <w:p>
            <w:pPr>
              <w:pStyle w:val="3"/>
              <w:spacing w:before="120" w:after="120"/>
              <w:rPr>
                <w:sz w:val="21"/>
                <w:szCs w:val="21"/>
              </w:rPr>
            </w:pPr>
            <w:r>
              <w:rPr>
                <w:rFonts w:hint="default" w:ascii="宋体" w:hAnsi="宋体" w:eastAsia="宋体" w:cs="宋体"/>
                <w:sz w:val="21"/>
                <w:szCs w:val="21"/>
              </w:rPr>
              <w:t>这就提供了有关以下方面的更多信息：</w:t>
            </w:r>
          </w:p>
          <w:p>
            <w:pPr>
              <w:pStyle w:val="3"/>
              <w:numPr>
                <w:ilvl w:val="0"/>
                <w:numId w:val="13"/>
              </w:numPr>
              <w:spacing w:before="120" w:after="120"/>
              <w:rPr>
                <w:b/>
                <w:sz w:val="21"/>
                <w:szCs w:val="21"/>
              </w:rPr>
            </w:pPr>
            <w:r>
              <w:rPr>
                <w:rFonts w:hint="default" w:ascii="宋体" w:hAnsi="宋体" w:eastAsia="宋体" w:cs="宋体"/>
                <w:sz w:val="21"/>
                <w:szCs w:val="21"/>
              </w:rPr>
              <w:t>支付和费用，包括这可能如何影响你获得的任何好处</w:t>
            </w:r>
          </w:p>
          <w:p>
            <w:pPr>
              <w:pStyle w:val="3"/>
              <w:numPr>
                <w:ilvl w:val="0"/>
                <w:numId w:val="13"/>
              </w:numPr>
              <w:spacing w:before="120" w:after="120"/>
              <w:rPr>
                <w:b/>
                <w:sz w:val="21"/>
                <w:szCs w:val="21"/>
              </w:rPr>
            </w:pPr>
            <w:r>
              <w:rPr>
                <w:rFonts w:hint="default" w:ascii="宋体" w:hAnsi="宋体" w:eastAsia="宋体" w:cs="宋体"/>
                <w:sz w:val="21"/>
                <w:szCs w:val="21"/>
              </w:rPr>
              <w:t>如果你有残疾，我们如何帮助你申请</w:t>
            </w:r>
          </w:p>
          <w:p>
            <w:pPr>
              <w:pStyle w:val="3"/>
              <w:numPr>
                <w:ilvl w:val="0"/>
                <w:numId w:val="13"/>
              </w:numPr>
              <w:spacing w:before="120" w:after="120"/>
              <w:rPr>
                <w:b/>
                <w:sz w:val="21"/>
                <w:szCs w:val="21"/>
              </w:rPr>
            </w:pPr>
            <w:r>
              <w:rPr>
                <w:rFonts w:hint="default" w:ascii="宋体" w:hAnsi="宋体" w:eastAsia="宋体" w:cs="宋体"/>
                <w:sz w:val="21"/>
                <w:szCs w:val="21"/>
              </w:rPr>
              <w:t>我们如何监督尼斯的工作中的平等和多样性</w:t>
            </w:r>
          </w:p>
          <w:p>
            <w:pPr>
              <w:pStyle w:val="3"/>
              <w:numPr>
                <w:ilvl w:val="0"/>
                <w:numId w:val="13"/>
              </w:numPr>
              <w:spacing w:before="120" w:after="120"/>
              <w:rPr>
                <w:b/>
                <w:sz w:val="21"/>
                <w:szCs w:val="21"/>
              </w:rPr>
            </w:pPr>
            <w:r>
              <w:rPr>
                <w:rFonts w:hint="default" w:ascii="宋体" w:hAnsi="宋体" w:eastAsia="宋体" w:cs="宋体"/>
                <w:sz w:val="21"/>
                <w:szCs w:val="21"/>
              </w:rPr>
              <w:t>我们对委员会成员的期望</w:t>
            </w:r>
          </w:p>
          <w:p>
            <w:pPr>
              <w:pStyle w:val="3"/>
              <w:numPr>
                <w:ilvl w:val="0"/>
                <w:numId w:val="13"/>
              </w:numPr>
              <w:spacing w:before="120" w:after="120"/>
              <w:rPr>
                <w:b/>
                <w:sz w:val="21"/>
                <w:szCs w:val="21"/>
              </w:rPr>
            </w:pPr>
            <w:r>
              <w:rPr>
                <w:rFonts w:hint="default" w:ascii="宋体" w:hAnsi="宋体" w:eastAsia="宋体" w:cs="宋体"/>
                <w:sz w:val="21"/>
                <w:szCs w:val="21"/>
              </w:rPr>
              <w:t>是什么能阻止你参加一个很好的委员会呢</w:t>
            </w:r>
          </w:p>
          <w:p>
            <w:pPr>
              <w:pStyle w:val="3"/>
              <w:numPr>
                <w:ilvl w:val="0"/>
                <w:numId w:val="13"/>
              </w:numPr>
              <w:spacing w:before="120" w:after="120"/>
              <w:rPr>
                <w:sz w:val="21"/>
                <w:szCs w:val="21"/>
              </w:rPr>
            </w:pPr>
            <w:r>
              <w:rPr>
                <w:rFonts w:hint="default" w:ascii="宋体" w:hAnsi="宋体" w:eastAsia="宋体" w:cs="宋体"/>
                <w:sz w:val="21"/>
                <w:szCs w:val="21"/>
              </w:rPr>
              <w:t>我们将如何使用你给我们的个人信息</w:t>
            </w:r>
          </w:p>
          <w:p>
            <w:pPr>
              <w:pStyle w:val="3"/>
              <w:numPr>
                <w:ilvl w:val="0"/>
                <w:numId w:val="13"/>
              </w:numPr>
              <w:spacing w:before="120" w:after="120"/>
              <w:rPr>
                <w:sz w:val="21"/>
                <w:szCs w:val="21"/>
              </w:rPr>
            </w:pPr>
            <w:r>
              <w:rPr>
                <w:rFonts w:hint="default" w:ascii="宋体" w:hAnsi="宋体" w:eastAsia="宋体" w:cs="宋体"/>
                <w:sz w:val="21"/>
                <w:szCs w:val="21"/>
              </w:rPr>
              <w:t>如果您对我们的招聘流程不满意，您能做些什么</w:t>
            </w:r>
          </w:p>
          <w:p>
            <w:pPr>
              <w:keepNext w:val="0"/>
              <w:keepLines w:val="0"/>
              <w:pageBreakBefore w:val="0"/>
              <w:kinsoku/>
              <w:wordWrap/>
              <w:overflowPunct/>
              <w:topLinePunct w:val="0"/>
              <w:autoSpaceDE/>
              <w:autoSpaceDN/>
              <w:bidi w:val="0"/>
              <w:adjustRightInd/>
              <w:snapToGrid w:val="0"/>
              <w:spacing w:line="360" w:lineRule="auto"/>
              <w:textAlignment w:val="auto"/>
              <w:rPr>
                <w:rFonts w:hint="default"/>
                <w:sz w:val="21"/>
                <w:szCs w:val="21"/>
                <w:vertAlign w:val="baseline"/>
                <w:lang w:val="en-US" w:eastAsia="zh-CN"/>
              </w:rPr>
            </w:pPr>
          </w:p>
        </w:tc>
      </w:tr>
    </w:tbl>
    <w:p>
      <w:pPr>
        <w:keepNext w:val="0"/>
        <w:keepLines w:val="0"/>
        <w:pageBreakBefore w:val="0"/>
        <w:kinsoku/>
        <w:wordWrap/>
        <w:overflowPunct/>
        <w:topLinePunct w:val="0"/>
        <w:autoSpaceDE/>
        <w:autoSpaceDN/>
        <w:bidi w:val="0"/>
        <w:adjustRightInd/>
        <w:snapToGrid w:val="0"/>
        <w:spacing w:line="360" w:lineRule="auto"/>
        <w:textAlignment w:val="auto"/>
        <w:rPr>
          <w:rFonts w:hint="default"/>
          <w:sz w:val="21"/>
          <w:szCs w:val="21"/>
          <w:lang w:val="en-US" w:eastAsia="zh-CN"/>
        </w:rPr>
      </w:pPr>
    </w:p>
    <w:p>
      <w:pPr>
        <w:keepNext w:val="0"/>
        <w:keepLines w:val="0"/>
        <w:pageBreakBefore w:val="0"/>
        <w:kinsoku/>
        <w:wordWrap/>
        <w:overflowPunct/>
        <w:topLinePunct w:val="0"/>
        <w:autoSpaceDE/>
        <w:autoSpaceDN/>
        <w:bidi w:val="0"/>
        <w:adjustRightInd/>
        <w:snapToGrid w:val="0"/>
        <w:spacing w:line="360" w:lineRule="auto"/>
        <w:textAlignment w:val="auto"/>
        <w:rPr>
          <w:rFonts w:hint="default"/>
          <w:sz w:val="21"/>
          <w:szCs w:val="21"/>
          <w:lang w:val="en-US" w:eastAsia="zh-CN"/>
        </w:rPr>
      </w:pPr>
    </w:p>
    <w:p>
      <w:pPr>
        <w:pStyle w:val="4"/>
        <w:rPr>
          <w:sz w:val="21"/>
          <w:szCs w:val="21"/>
        </w:rPr>
      </w:pPr>
      <w:bookmarkStart w:id="2" w:name="_Hlk41908214"/>
      <w:bookmarkStart w:id="3" w:name="_Hlk41908139"/>
      <w:r>
        <w:rPr>
          <w:rFonts w:hint="default" w:ascii="宋体" w:hAnsi="宋体" w:eastAsia="宋体" w:cs="宋体"/>
          <w:sz w:val="21"/>
          <w:szCs w:val="21"/>
        </w:rPr>
        <w:t>资源文件2培训资源的列表</w:t>
      </w:r>
    </w:p>
    <w:tbl>
      <w:tblPr>
        <w:tblStyle w:val="13"/>
        <w:tblW w:w="88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2871"/>
        <w:gridCol w:w="2768"/>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440" w:type="dxa"/>
          </w:tcPr>
          <w:p>
            <w:pPr>
              <w:pStyle w:val="28"/>
              <w:rPr>
                <w:sz w:val="21"/>
                <w:szCs w:val="21"/>
              </w:rPr>
            </w:pPr>
            <w:r>
              <w:rPr>
                <w:rFonts w:hint="default" w:ascii="宋体" w:hAnsi="宋体" w:eastAsia="宋体" w:cs="宋体"/>
                <w:sz w:val="21"/>
                <w:szCs w:val="21"/>
              </w:rPr>
              <w:t>标题</w:t>
            </w:r>
          </w:p>
        </w:tc>
        <w:tc>
          <w:tcPr>
            <w:tcW w:w="2871" w:type="dxa"/>
            <w:shd w:val="clear" w:color="auto" w:fill="auto"/>
          </w:tcPr>
          <w:p>
            <w:pPr>
              <w:pStyle w:val="28"/>
              <w:rPr>
                <w:sz w:val="21"/>
                <w:szCs w:val="21"/>
              </w:rPr>
            </w:pPr>
            <w:r>
              <w:rPr>
                <w:rFonts w:hint="default" w:ascii="宋体" w:hAnsi="宋体" w:eastAsia="宋体" w:cs="宋体"/>
                <w:sz w:val="21"/>
                <w:szCs w:val="21"/>
              </w:rPr>
              <w:t>说明</w:t>
            </w:r>
          </w:p>
        </w:tc>
        <w:tc>
          <w:tcPr>
            <w:tcW w:w="2768" w:type="dxa"/>
            <w:shd w:val="clear" w:color="auto" w:fill="auto"/>
          </w:tcPr>
          <w:p>
            <w:pPr>
              <w:pStyle w:val="28"/>
              <w:rPr>
                <w:sz w:val="21"/>
                <w:szCs w:val="21"/>
              </w:rPr>
            </w:pPr>
            <w:r>
              <w:rPr>
                <w:rFonts w:hint="default" w:ascii="宋体" w:hAnsi="宋体" w:eastAsia="宋体" w:cs="宋体"/>
                <w:sz w:val="21"/>
                <w:szCs w:val="21"/>
              </w:rPr>
              <w:t>本网站</w:t>
            </w:r>
          </w:p>
        </w:tc>
        <w:tc>
          <w:tcPr>
            <w:tcW w:w="1743" w:type="dxa"/>
            <w:shd w:val="clear" w:color="auto" w:fill="auto"/>
          </w:tcPr>
          <w:p>
            <w:pPr>
              <w:pStyle w:val="28"/>
              <w:rPr>
                <w:sz w:val="21"/>
                <w:szCs w:val="21"/>
              </w:rPr>
            </w:pPr>
            <w:r>
              <w:rPr>
                <w:rFonts w:hint="default" w:ascii="宋体" w:hAnsi="宋体" w:eastAsia="宋体" w:cs="宋体"/>
                <w:sz w:val="21"/>
                <w:szCs w:val="21"/>
              </w:rPr>
              <w:t>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pStyle w:val="29"/>
              <w:rPr>
                <w:sz w:val="21"/>
                <w:szCs w:val="21"/>
              </w:rPr>
            </w:pPr>
            <w:r>
              <w:rPr>
                <w:sz w:val="21"/>
                <w:szCs w:val="21"/>
              </w:rPr>
              <w:t>Cochrane</w:t>
            </w:r>
            <w:r>
              <w:rPr>
                <w:rFonts w:hint="default" w:ascii="宋体" w:hAnsi="宋体" w:eastAsia="宋体" w:cs="宋体"/>
                <w:sz w:val="21"/>
                <w:szCs w:val="21"/>
              </w:rPr>
              <w:t>证据的基本要素</w:t>
            </w:r>
          </w:p>
        </w:tc>
        <w:tc>
          <w:tcPr>
            <w:tcW w:w="2871" w:type="dxa"/>
            <w:shd w:val="clear" w:color="auto" w:fill="auto"/>
          </w:tcPr>
          <w:p>
            <w:pPr>
              <w:pStyle w:val="29"/>
              <w:rPr>
                <w:sz w:val="21"/>
                <w:szCs w:val="21"/>
              </w:rPr>
            </w:pPr>
            <w:r>
              <w:rPr>
                <w:rFonts w:hint="default" w:ascii="宋体" w:hAnsi="宋体" w:eastAsia="宋体" w:cs="宋体"/>
                <w:sz w:val="21"/>
                <w:szCs w:val="21"/>
              </w:rPr>
              <w:t>课程涵盖：循证医学、随机对照试验、系统综述的介绍，以及理解和使用系统综述</w:t>
            </w:r>
          </w:p>
        </w:tc>
        <w:tc>
          <w:tcPr>
            <w:tcW w:w="2768" w:type="dxa"/>
            <w:shd w:val="clear" w:color="auto" w:fill="auto"/>
          </w:tcPr>
          <w:p>
            <w:pPr>
              <w:pStyle w:val="29"/>
              <w:rPr>
                <w:sz w:val="21"/>
                <w:szCs w:val="21"/>
              </w:rPr>
            </w:pPr>
            <w:r>
              <w:rPr>
                <w:rFonts w:hint="default" w:ascii="宋体" w:hAnsi="宋体" w:eastAsia="宋体" w:cs="宋体"/>
                <w:sz w:val="21"/>
                <w:szCs w:val="21"/>
              </w:rPr>
              <w:t>https://training.cochrane.org/essentials</w:t>
            </w:r>
          </w:p>
        </w:tc>
        <w:tc>
          <w:tcPr>
            <w:tcW w:w="1743" w:type="dxa"/>
            <w:shd w:val="clear" w:color="auto" w:fill="auto"/>
          </w:tcPr>
          <w:p>
            <w:pPr>
              <w:pStyle w:val="29"/>
              <w:rPr>
                <w:sz w:val="21"/>
                <w:szCs w:val="21"/>
              </w:rPr>
            </w:pPr>
            <w:r>
              <w:rPr>
                <w:rFonts w:hint="default" w:ascii="宋体" w:hAnsi="宋体" w:eastAsia="宋体" w:cs="宋体"/>
                <w:sz w:val="21"/>
                <w:szCs w:val="21"/>
              </w:rPr>
              <w:t>免费的，需要登录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pStyle w:val="29"/>
              <w:rPr>
                <w:sz w:val="21"/>
                <w:szCs w:val="21"/>
              </w:rPr>
            </w:pPr>
            <w:r>
              <w:rPr>
                <w:sz w:val="21"/>
                <w:szCs w:val="21"/>
              </w:rPr>
              <w:t>CUE</w:t>
            </w:r>
            <w:r>
              <w:rPr>
                <w:rFonts w:hint="default" w:ascii="宋体" w:hAnsi="宋体" w:eastAsia="宋体" w:cs="宋体"/>
                <w:sz w:val="21"/>
                <w:szCs w:val="21"/>
              </w:rPr>
              <w:t>-消费者联合支持循证医疗保健</w:t>
            </w:r>
          </w:p>
        </w:tc>
        <w:tc>
          <w:tcPr>
            <w:tcW w:w="2871" w:type="dxa"/>
            <w:shd w:val="clear" w:color="auto" w:fill="auto"/>
          </w:tcPr>
          <w:p>
            <w:pPr>
              <w:pStyle w:val="29"/>
              <w:rPr>
                <w:sz w:val="21"/>
                <w:szCs w:val="21"/>
              </w:rPr>
            </w:pPr>
            <w:r>
              <w:rPr>
                <w:rFonts w:hint="default" w:ascii="宋体" w:hAnsi="宋体" w:eastAsia="宋体" w:cs="宋体"/>
                <w:sz w:val="21"/>
                <w:szCs w:val="21"/>
              </w:rPr>
              <w:t>多种教育资源和免费课程，包括：循证医疗、FDA和医疗干预和咨询小组参与资源的管理。有一个视频涵盖了消费者对指导方针制定的参与。</w:t>
            </w:r>
          </w:p>
        </w:tc>
        <w:tc>
          <w:tcPr>
            <w:tcW w:w="2768" w:type="dxa"/>
            <w:shd w:val="clear" w:color="auto" w:fill="auto"/>
          </w:tcPr>
          <w:p>
            <w:pPr>
              <w:pStyle w:val="29"/>
              <w:rPr>
                <w:sz w:val="21"/>
                <w:szCs w:val="21"/>
              </w:rPr>
            </w:pPr>
            <w:r>
              <w:rPr>
                <w:sz w:val="21"/>
                <w:szCs w:val="21"/>
              </w:rPr>
              <w:fldChar w:fldCharType="begin"/>
            </w:r>
            <w:r>
              <w:rPr>
                <w:sz w:val="21"/>
                <w:szCs w:val="21"/>
              </w:rPr>
              <w:instrText xml:space="preserve"> HYPERLINK "http://consumersunited.org/education&amp;training" </w:instrText>
            </w:r>
            <w:r>
              <w:rPr>
                <w:sz w:val="21"/>
                <w:szCs w:val="21"/>
              </w:rPr>
              <w:fldChar w:fldCharType="separate"/>
            </w:r>
            <w:r>
              <w:rPr>
                <w:rStyle w:val="19"/>
                <w:rFonts w:hint="default" w:ascii="宋体" w:hAnsi="宋体" w:eastAsia="宋体" w:cs="宋体"/>
                <w:sz w:val="21"/>
                <w:szCs w:val="21"/>
              </w:rPr>
              <w:t>http://consumersunited.org/education&amp;training</w:t>
            </w:r>
            <w:r>
              <w:rPr>
                <w:rStyle w:val="19"/>
                <w:rFonts w:hint="default" w:ascii="宋体" w:hAnsi="宋体" w:eastAsia="宋体" w:cs="宋体"/>
                <w:sz w:val="21"/>
                <w:szCs w:val="21"/>
              </w:rPr>
              <w:fldChar w:fldCharType="end"/>
            </w:r>
          </w:p>
          <w:p>
            <w:pPr>
              <w:pStyle w:val="29"/>
              <w:rPr>
                <w:sz w:val="21"/>
                <w:szCs w:val="21"/>
              </w:rPr>
            </w:pPr>
            <w:r>
              <w:rPr>
                <w:sz w:val="21"/>
                <w:szCs w:val="21"/>
              </w:rPr>
              <w:fldChar w:fldCharType="begin"/>
            </w:r>
            <w:r>
              <w:rPr>
                <w:sz w:val="21"/>
                <w:szCs w:val="21"/>
              </w:rPr>
              <w:instrText xml:space="preserve"> HYPERLINK "http://consumersunited.org/rrguideline" </w:instrText>
            </w:r>
            <w:r>
              <w:rPr>
                <w:sz w:val="21"/>
                <w:szCs w:val="21"/>
              </w:rPr>
              <w:fldChar w:fldCharType="separate"/>
            </w:r>
            <w:r>
              <w:rPr>
                <w:rStyle w:val="19"/>
                <w:rFonts w:hint="default" w:ascii="宋体" w:hAnsi="宋体" w:eastAsia="宋体" w:cs="宋体"/>
                <w:sz w:val="21"/>
                <w:szCs w:val="21"/>
              </w:rPr>
              <w:t>http://consumersunited.org/rrguideline</w:t>
            </w:r>
            <w:r>
              <w:rPr>
                <w:rStyle w:val="19"/>
                <w:rFonts w:hint="default" w:ascii="宋体" w:hAnsi="宋体" w:eastAsia="宋体" w:cs="宋体"/>
                <w:sz w:val="21"/>
                <w:szCs w:val="21"/>
              </w:rPr>
              <w:fldChar w:fldCharType="end"/>
            </w:r>
          </w:p>
          <w:p>
            <w:pPr>
              <w:pStyle w:val="29"/>
              <w:rPr>
                <w:sz w:val="21"/>
                <w:szCs w:val="21"/>
              </w:rPr>
            </w:pPr>
          </w:p>
        </w:tc>
        <w:tc>
          <w:tcPr>
            <w:tcW w:w="1743" w:type="dxa"/>
            <w:shd w:val="clear" w:color="auto" w:fill="auto"/>
          </w:tcPr>
          <w:p>
            <w:pPr>
              <w:pStyle w:val="29"/>
              <w:rPr>
                <w:sz w:val="21"/>
                <w:szCs w:val="21"/>
              </w:rPr>
            </w:pPr>
            <w:r>
              <w:rPr>
                <w:rFonts w:hint="default" w:ascii="宋体" w:hAnsi="宋体" w:eastAsia="宋体" w:cs="宋体"/>
                <w:sz w:val="21"/>
                <w:szCs w:val="21"/>
              </w:rPr>
              <w:t>免费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pStyle w:val="29"/>
              <w:rPr>
                <w:sz w:val="21"/>
                <w:szCs w:val="21"/>
              </w:rPr>
            </w:pPr>
            <w:r>
              <w:rPr>
                <w:rFonts w:hint="default" w:ascii="宋体" w:hAnsi="宋体" w:eastAsia="宋体" w:cs="宋体"/>
                <w:sz w:val="21"/>
                <w:szCs w:val="21"/>
              </w:rPr>
              <w:t>EUPATI：通过教育参与患者的工作</w:t>
            </w:r>
          </w:p>
        </w:tc>
        <w:tc>
          <w:tcPr>
            <w:tcW w:w="2871" w:type="dxa"/>
            <w:shd w:val="clear" w:color="auto" w:fill="auto"/>
          </w:tcPr>
          <w:p>
            <w:pPr>
              <w:pStyle w:val="29"/>
              <w:rPr>
                <w:sz w:val="21"/>
                <w:szCs w:val="21"/>
              </w:rPr>
            </w:pPr>
            <w:r>
              <w:rPr>
                <w:rFonts w:hint="default" w:ascii="宋体" w:hAnsi="宋体" w:eastAsia="宋体" w:cs="宋体"/>
                <w:sz w:val="21"/>
                <w:szCs w:val="21"/>
              </w:rPr>
              <w:t>资源的工具包和一个关于患者参与和药物研究和开发的课程</w:t>
            </w:r>
          </w:p>
        </w:tc>
        <w:tc>
          <w:tcPr>
            <w:tcW w:w="2768" w:type="dxa"/>
            <w:shd w:val="clear" w:color="auto" w:fill="auto"/>
          </w:tcPr>
          <w:p>
            <w:pPr>
              <w:pStyle w:val="29"/>
              <w:rPr>
                <w:sz w:val="21"/>
                <w:szCs w:val="21"/>
              </w:rPr>
            </w:pPr>
            <w:r>
              <w:rPr>
                <w:sz w:val="21"/>
                <w:szCs w:val="21"/>
              </w:rPr>
              <w:fldChar w:fldCharType="begin"/>
            </w:r>
            <w:r>
              <w:rPr>
                <w:sz w:val="21"/>
                <w:szCs w:val="21"/>
              </w:rPr>
              <w:instrText xml:space="preserve"> HYPERLINK "https://eupati.eu/" </w:instrText>
            </w:r>
            <w:r>
              <w:rPr>
                <w:sz w:val="21"/>
                <w:szCs w:val="21"/>
              </w:rPr>
              <w:fldChar w:fldCharType="separate"/>
            </w:r>
            <w:r>
              <w:rPr>
                <w:rStyle w:val="19"/>
                <w:rFonts w:hint="default" w:ascii="宋体" w:hAnsi="宋体" w:eastAsia="宋体" w:cs="宋体"/>
                <w:sz w:val="21"/>
                <w:szCs w:val="21"/>
              </w:rPr>
              <w:t>https://eupati.eu/</w:t>
            </w:r>
            <w:r>
              <w:rPr>
                <w:rStyle w:val="19"/>
                <w:rFonts w:hint="default" w:ascii="宋体" w:hAnsi="宋体" w:eastAsia="宋体" w:cs="宋体"/>
                <w:sz w:val="21"/>
                <w:szCs w:val="21"/>
              </w:rPr>
              <w:fldChar w:fldCharType="end"/>
            </w:r>
          </w:p>
          <w:p>
            <w:pPr>
              <w:pStyle w:val="29"/>
              <w:rPr>
                <w:sz w:val="21"/>
                <w:szCs w:val="21"/>
              </w:rPr>
            </w:pPr>
          </w:p>
        </w:tc>
        <w:tc>
          <w:tcPr>
            <w:tcW w:w="1743" w:type="dxa"/>
            <w:shd w:val="clear" w:color="auto" w:fill="auto"/>
          </w:tcPr>
          <w:p>
            <w:pPr>
              <w:pStyle w:val="29"/>
              <w:rPr>
                <w:sz w:val="21"/>
                <w:szCs w:val="21"/>
              </w:rPr>
            </w:pPr>
            <w:r>
              <w:rPr>
                <w:rFonts w:hint="default" w:ascii="宋体" w:hAnsi="宋体" w:eastAsia="宋体" w:cs="宋体"/>
                <w:sz w:val="21"/>
                <w:szCs w:val="21"/>
              </w:rPr>
              <w:t>课程的申请过程。资源是免费的。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pStyle w:val="29"/>
              <w:rPr>
                <w:sz w:val="21"/>
                <w:szCs w:val="21"/>
              </w:rPr>
            </w:pPr>
            <w:r>
              <w:rPr>
                <w:sz w:val="21"/>
                <w:szCs w:val="21"/>
              </w:rPr>
              <w:t>Coursera</w:t>
            </w:r>
          </w:p>
        </w:tc>
        <w:tc>
          <w:tcPr>
            <w:tcW w:w="2871" w:type="dxa"/>
            <w:shd w:val="clear" w:color="auto" w:fill="auto"/>
          </w:tcPr>
          <w:p>
            <w:pPr>
              <w:pStyle w:val="29"/>
              <w:rPr>
                <w:sz w:val="21"/>
                <w:szCs w:val="21"/>
              </w:rPr>
            </w:pPr>
            <w:r>
              <w:rPr>
                <w:sz w:val="21"/>
                <w:szCs w:val="21"/>
              </w:rPr>
              <w:t>Coursera</w:t>
            </w:r>
            <w:r>
              <w:rPr>
                <w:rFonts w:hint="default" w:ascii="宋体" w:hAnsi="宋体" w:eastAsia="宋体" w:cs="宋体"/>
                <w:sz w:val="21"/>
                <w:szCs w:val="21"/>
              </w:rPr>
              <w:t>是一个提供世界各地知名机构提供的免费和付费课程的平台。有一系列关于研究方法、统计学和定量和定性研究方法的课程。还有许多其他可能与特定指导方针主题有关的课程，例如公共卫生课程。</w:t>
            </w:r>
          </w:p>
        </w:tc>
        <w:tc>
          <w:tcPr>
            <w:tcW w:w="2768" w:type="dxa"/>
            <w:shd w:val="clear" w:color="auto" w:fill="auto"/>
          </w:tcPr>
          <w:p>
            <w:pPr>
              <w:pStyle w:val="29"/>
              <w:rPr>
                <w:sz w:val="21"/>
                <w:szCs w:val="21"/>
              </w:rPr>
            </w:pPr>
            <w:r>
              <w:rPr>
                <w:sz w:val="21"/>
                <w:szCs w:val="21"/>
              </w:rPr>
              <w:fldChar w:fldCharType="begin"/>
            </w:r>
            <w:r>
              <w:rPr>
                <w:sz w:val="21"/>
                <w:szCs w:val="21"/>
              </w:rPr>
              <w:instrText xml:space="preserve"> HYPERLINK "https://www.coursera.org/" </w:instrText>
            </w:r>
            <w:r>
              <w:rPr>
                <w:sz w:val="21"/>
                <w:szCs w:val="21"/>
              </w:rPr>
              <w:fldChar w:fldCharType="separate"/>
            </w:r>
            <w:r>
              <w:rPr>
                <w:rStyle w:val="19"/>
                <w:rFonts w:hint="default" w:ascii="宋体" w:hAnsi="宋体" w:eastAsia="宋体" w:cs="宋体"/>
                <w:sz w:val="21"/>
                <w:szCs w:val="21"/>
              </w:rPr>
              <w:t>https://www.coursera.org/</w:t>
            </w:r>
            <w:r>
              <w:rPr>
                <w:rStyle w:val="19"/>
                <w:rFonts w:hint="default" w:ascii="宋体" w:hAnsi="宋体" w:eastAsia="宋体" w:cs="宋体"/>
                <w:sz w:val="21"/>
                <w:szCs w:val="21"/>
              </w:rPr>
              <w:fldChar w:fldCharType="end"/>
            </w:r>
          </w:p>
          <w:p>
            <w:pPr>
              <w:pStyle w:val="29"/>
              <w:rPr>
                <w:sz w:val="21"/>
                <w:szCs w:val="21"/>
              </w:rPr>
            </w:pPr>
          </w:p>
        </w:tc>
        <w:tc>
          <w:tcPr>
            <w:tcW w:w="1743" w:type="dxa"/>
            <w:shd w:val="clear" w:color="auto" w:fill="auto"/>
          </w:tcPr>
          <w:p>
            <w:pPr>
              <w:pStyle w:val="29"/>
              <w:rPr>
                <w:sz w:val="21"/>
                <w:szCs w:val="21"/>
              </w:rPr>
            </w:pPr>
            <w:r>
              <w:rPr>
                <w:rFonts w:hint="default" w:ascii="宋体" w:hAnsi="宋体" w:eastAsia="宋体" w:cs="宋体"/>
                <w:sz w:val="21"/>
                <w:szCs w:val="21"/>
              </w:rPr>
              <w:t>大多数课程都是免费的，除非你想获得证书。专业课程需要收费，这是一系列的课程。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pStyle w:val="29"/>
              <w:rPr>
                <w:sz w:val="21"/>
                <w:szCs w:val="21"/>
              </w:rPr>
            </w:pPr>
            <w:r>
              <w:rPr>
                <w:sz w:val="21"/>
                <w:szCs w:val="21"/>
              </w:rPr>
              <w:t>Future Learn</w:t>
            </w:r>
          </w:p>
        </w:tc>
        <w:tc>
          <w:tcPr>
            <w:tcW w:w="2871" w:type="dxa"/>
            <w:shd w:val="clear" w:color="auto" w:fill="auto"/>
          </w:tcPr>
          <w:p>
            <w:pPr>
              <w:pStyle w:val="29"/>
              <w:rPr>
                <w:sz w:val="21"/>
                <w:szCs w:val="21"/>
              </w:rPr>
            </w:pPr>
            <w:r>
              <w:rPr>
                <w:sz w:val="21"/>
                <w:szCs w:val="21"/>
              </w:rPr>
              <w:t>Future Learn</w:t>
            </w:r>
            <w:r>
              <w:rPr>
                <w:rFonts w:hint="default" w:ascii="宋体" w:hAnsi="宋体" w:eastAsia="宋体" w:cs="宋体"/>
                <w:sz w:val="21"/>
                <w:szCs w:val="21"/>
              </w:rPr>
              <w:t>类似于</w:t>
            </w:r>
            <w:r>
              <w:rPr>
                <w:sz w:val="21"/>
                <w:szCs w:val="21"/>
              </w:rPr>
              <w:t>Coursera</w:t>
            </w:r>
            <w:r>
              <w:rPr>
                <w:rFonts w:hint="default" w:ascii="宋体" w:hAnsi="宋体" w:eastAsia="宋体" w:cs="宋体"/>
                <w:sz w:val="21"/>
                <w:szCs w:val="21"/>
              </w:rPr>
              <w:t>，提供来自著名机构的课程，涵盖医疗保健和医学、科学、心理学和心理健康主题的许多方面，可能与特定的指导小组相关。</w:t>
            </w:r>
          </w:p>
        </w:tc>
        <w:tc>
          <w:tcPr>
            <w:tcW w:w="2768" w:type="dxa"/>
            <w:shd w:val="clear" w:color="auto" w:fill="auto"/>
          </w:tcPr>
          <w:p>
            <w:pPr>
              <w:pStyle w:val="29"/>
              <w:rPr>
                <w:sz w:val="21"/>
                <w:szCs w:val="21"/>
              </w:rPr>
            </w:pPr>
            <w:r>
              <w:rPr>
                <w:sz w:val="21"/>
                <w:szCs w:val="21"/>
              </w:rPr>
              <w:fldChar w:fldCharType="begin"/>
            </w:r>
            <w:r>
              <w:rPr>
                <w:sz w:val="21"/>
                <w:szCs w:val="21"/>
              </w:rPr>
              <w:instrText xml:space="preserve"> HYPERLINK "https://www.futurelearn.com/" </w:instrText>
            </w:r>
            <w:r>
              <w:rPr>
                <w:sz w:val="21"/>
                <w:szCs w:val="21"/>
              </w:rPr>
              <w:fldChar w:fldCharType="separate"/>
            </w:r>
            <w:r>
              <w:rPr>
                <w:rStyle w:val="19"/>
                <w:rFonts w:hint="default" w:ascii="宋体" w:hAnsi="宋体" w:eastAsia="宋体" w:cs="宋体"/>
                <w:sz w:val="21"/>
                <w:szCs w:val="21"/>
              </w:rPr>
              <w:t>https://www.futurelearn.com/</w:t>
            </w:r>
            <w:r>
              <w:rPr>
                <w:rStyle w:val="19"/>
                <w:rFonts w:hint="default" w:ascii="宋体" w:hAnsi="宋体" w:eastAsia="宋体" w:cs="宋体"/>
                <w:sz w:val="21"/>
                <w:szCs w:val="21"/>
              </w:rPr>
              <w:fldChar w:fldCharType="end"/>
            </w:r>
          </w:p>
          <w:p>
            <w:pPr>
              <w:pStyle w:val="29"/>
              <w:rPr>
                <w:sz w:val="21"/>
                <w:szCs w:val="21"/>
              </w:rPr>
            </w:pPr>
          </w:p>
        </w:tc>
        <w:tc>
          <w:tcPr>
            <w:tcW w:w="1743" w:type="dxa"/>
            <w:shd w:val="clear" w:color="auto" w:fill="auto"/>
          </w:tcPr>
          <w:p>
            <w:pPr>
              <w:pStyle w:val="29"/>
              <w:rPr>
                <w:sz w:val="21"/>
                <w:szCs w:val="21"/>
              </w:rPr>
            </w:pPr>
            <w:r>
              <w:rPr>
                <w:rFonts w:hint="default" w:ascii="宋体" w:hAnsi="宋体" w:eastAsia="宋体" w:cs="宋体"/>
                <w:sz w:val="21"/>
                <w:szCs w:val="21"/>
              </w:rPr>
              <w:t>课程可以免费学习6周，还可以选择支付升级费用。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pStyle w:val="29"/>
              <w:rPr>
                <w:sz w:val="21"/>
                <w:szCs w:val="21"/>
              </w:rPr>
            </w:pPr>
            <w:r>
              <w:rPr>
                <w:sz w:val="21"/>
                <w:szCs w:val="21"/>
              </w:rPr>
              <w:t>Testing Treatments</w:t>
            </w:r>
          </w:p>
        </w:tc>
        <w:tc>
          <w:tcPr>
            <w:tcW w:w="2871" w:type="dxa"/>
            <w:shd w:val="clear" w:color="auto" w:fill="auto"/>
          </w:tcPr>
          <w:p>
            <w:pPr>
              <w:pStyle w:val="29"/>
              <w:rPr>
                <w:sz w:val="21"/>
                <w:szCs w:val="21"/>
              </w:rPr>
            </w:pPr>
            <w:r>
              <w:rPr>
                <w:rFonts w:hint="default" w:ascii="宋体" w:hAnsi="宋体" w:eastAsia="宋体" w:cs="宋体"/>
                <w:sz w:val="21"/>
                <w:szCs w:val="21"/>
              </w:rPr>
              <w:t>一个关于批判性评估治疗索赔的宝贵资源。这本书有免费的PDF和有声读物格式。这本书有不同的语言版本。该网站还包括一个包含额外资源的互动工具包。</w:t>
            </w:r>
          </w:p>
        </w:tc>
        <w:tc>
          <w:tcPr>
            <w:tcW w:w="2768" w:type="dxa"/>
            <w:shd w:val="clear" w:color="auto" w:fill="auto"/>
          </w:tcPr>
          <w:p>
            <w:pPr>
              <w:pStyle w:val="29"/>
              <w:rPr>
                <w:sz w:val="21"/>
                <w:szCs w:val="21"/>
              </w:rPr>
            </w:pPr>
            <w:r>
              <w:rPr>
                <w:sz w:val="21"/>
                <w:szCs w:val="21"/>
              </w:rPr>
              <w:fldChar w:fldCharType="begin"/>
            </w:r>
            <w:r>
              <w:rPr>
                <w:sz w:val="21"/>
                <w:szCs w:val="21"/>
              </w:rPr>
              <w:instrText xml:space="preserve"> HYPERLINK "https://en.testingtreatments.org/" </w:instrText>
            </w:r>
            <w:r>
              <w:rPr>
                <w:sz w:val="21"/>
                <w:szCs w:val="21"/>
              </w:rPr>
              <w:fldChar w:fldCharType="separate"/>
            </w:r>
            <w:r>
              <w:rPr>
                <w:rStyle w:val="19"/>
                <w:rFonts w:hint="default" w:ascii="宋体" w:hAnsi="宋体" w:eastAsia="宋体" w:cs="宋体"/>
                <w:sz w:val="21"/>
                <w:szCs w:val="21"/>
              </w:rPr>
              <w:t>https://en.testingtreatments.org/</w:t>
            </w:r>
            <w:r>
              <w:rPr>
                <w:rStyle w:val="19"/>
                <w:rFonts w:hint="default" w:ascii="宋体" w:hAnsi="宋体" w:eastAsia="宋体" w:cs="宋体"/>
                <w:sz w:val="21"/>
                <w:szCs w:val="21"/>
              </w:rPr>
              <w:fldChar w:fldCharType="end"/>
            </w:r>
            <w:r>
              <w:rPr>
                <w:sz w:val="21"/>
                <w:szCs w:val="21"/>
              </w:rPr>
              <w:t xml:space="preserve"> </w:t>
            </w:r>
          </w:p>
        </w:tc>
        <w:tc>
          <w:tcPr>
            <w:tcW w:w="1743" w:type="dxa"/>
            <w:shd w:val="clear" w:color="auto" w:fill="auto"/>
          </w:tcPr>
          <w:p>
            <w:pPr>
              <w:pStyle w:val="29"/>
              <w:rPr>
                <w:sz w:val="21"/>
                <w:szCs w:val="21"/>
              </w:rPr>
            </w:pPr>
            <w:r>
              <w:rPr>
                <w:rFonts w:hint="default" w:ascii="宋体" w:hAnsi="宋体" w:eastAsia="宋体" w:cs="宋体"/>
                <w:sz w:val="21"/>
                <w:szCs w:val="21"/>
              </w:rPr>
              <w:t>免费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pStyle w:val="29"/>
              <w:rPr>
                <w:sz w:val="21"/>
                <w:szCs w:val="21"/>
              </w:rPr>
            </w:pPr>
            <w:r>
              <w:rPr>
                <w:sz w:val="21"/>
                <w:szCs w:val="21"/>
              </w:rPr>
              <w:t>The NICE glossary</w:t>
            </w:r>
          </w:p>
        </w:tc>
        <w:tc>
          <w:tcPr>
            <w:tcW w:w="2871" w:type="dxa"/>
            <w:shd w:val="clear" w:color="auto" w:fill="auto"/>
          </w:tcPr>
          <w:p>
            <w:pPr>
              <w:pStyle w:val="29"/>
              <w:rPr>
                <w:sz w:val="21"/>
                <w:szCs w:val="21"/>
              </w:rPr>
            </w:pPr>
            <w:r>
              <w:rPr>
                <w:rFonts w:hint="default" w:ascii="宋体" w:hAnsi="宋体" w:eastAsia="宋体" w:cs="宋体"/>
                <w:sz w:val="21"/>
                <w:szCs w:val="21"/>
              </w:rPr>
              <w:t>NICE提供了指导开发中使用的术语表和定义</w:t>
            </w:r>
          </w:p>
        </w:tc>
        <w:tc>
          <w:tcPr>
            <w:tcW w:w="2768" w:type="dxa"/>
            <w:shd w:val="clear" w:color="auto" w:fill="auto"/>
          </w:tcPr>
          <w:p>
            <w:pPr>
              <w:pStyle w:val="29"/>
              <w:rPr>
                <w:sz w:val="21"/>
                <w:szCs w:val="21"/>
              </w:rPr>
            </w:pPr>
            <w:r>
              <w:rPr>
                <w:sz w:val="21"/>
                <w:szCs w:val="21"/>
              </w:rPr>
              <w:fldChar w:fldCharType="begin"/>
            </w:r>
            <w:r>
              <w:rPr>
                <w:sz w:val="21"/>
                <w:szCs w:val="21"/>
              </w:rPr>
              <w:instrText xml:space="preserve"> HYPERLINK "https://www.nice.org.uk/glossary" </w:instrText>
            </w:r>
            <w:r>
              <w:rPr>
                <w:sz w:val="21"/>
                <w:szCs w:val="21"/>
              </w:rPr>
              <w:fldChar w:fldCharType="separate"/>
            </w:r>
            <w:r>
              <w:rPr>
                <w:rStyle w:val="19"/>
                <w:rFonts w:hint="default" w:ascii="宋体" w:hAnsi="宋体" w:eastAsia="宋体" w:cs="宋体"/>
                <w:sz w:val="21"/>
                <w:szCs w:val="21"/>
              </w:rPr>
              <w:t>https://www.nice.org.uk/glossary</w:t>
            </w:r>
            <w:r>
              <w:rPr>
                <w:rStyle w:val="19"/>
                <w:rFonts w:hint="default" w:ascii="宋体" w:hAnsi="宋体" w:eastAsia="宋体" w:cs="宋体"/>
                <w:sz w:val="21"/>
                <w:szCs w:val="21"/>
              </w:rPr>
              <w:fldChar w:fldCharType="end"/>
            </w:r>
          </w:p>
          <w:p>
            <w:pPr>
              <w:pStyle w:val="29"/>
              <w:rPr>
                <w:sz w:val="21"/>
                <w:szCs w:val="21"/>
              </w:rPr>
            </w:pPr>
          </w:p>
        </w:tc>
        <w:tc>
          <w:tcPr>
            <w:tcW w:w="1743" w:type="dxa"/>
            <w:shd w:val="clear" w:color="auto" w:fill="auto"/>
          </w:tcPr>
          <w:p>
            <w:pPr>
              <w:pStyle w:val="29"/>
              <w:rPr>
                <w:sz w:val="21"/>
                <w:szCs w:val="21"/>
              </w:rPr>
            </w:pPr>
            <w:r>
              <w:rPr>
                <w:rFonts w:hint="default" w:ascii="宋体" w:hAnsi="宋体" w:eastAsia="宋体" w:cs="宋体"/>
                <w:sz w:val="21"/>
                <w:szCs w:val="21"/>
              </w:rPr>
              <w:t>免费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pStyle w:val="29"/>
              <w:rPr>
                <w:sz w:val="21"/>
                <w:szCs w:val="21"/>
              </w:rPr>
            </w:pPr>
            <w:r>
              <w:rPr>
                <w:sz w:val="21"/>
                <w:szCs w:val="21"/>
              </w:rPr>
              <w:t>Bandolier</w:t>
            </w:r>
          </w:p>
        </w:tc>
        <w:tc>
          <w:tcPr>
            <w:tcW w:w="2871" w:type="dxa"/>
            <w:shd w:val="clear" w:color="auto" w:fill="auto"/>
          </w:tcPr>
          <w:p>
            <w:pPr>
              <w:pStyle w:val="29"/>
              <w:rPr>
                <w:sz w:val="21"/>
                <w:szCs w:val="21"/>
              </w:rPr>
            </w:pPr>
            <w:r>
              <w:rPr>
                <w:rFonts w:hint="default" w:ascii="宋体" w:hAnsi="宋体" w:eastAsia="宋体" w:cs="宋体"/>
                <w:sz w:val="21"/>
                <w:szCs w:val="21"/>
              </w:rPr>
              <w:t>该网站提供了与循证医学相关的期刊文章的免费资源。还有一个学习区，里面有与试验、</w:t>
            </w:r>
            <w:r>
              <w:rPr>
                <w:rFonts w:hint="eastAsia" w:ascii="宋体" w:hAnsi="宋体" w:eastAsia="宋体" w:cs="宋体"/>
                <w:sz w:val="21"/>
                <w:szCs w:val="21"/>
                <w:lang w:val="en-US" w:eastAsia="zh-CN"/>
              </w:rPr>
              <w:t>meta</w:t>
            </w:r>
            <w:r>
              <w:rPr>
                <w:rFonts w:hint="default" w:ascii="宋体" w:hAnsi="宋体" w:eastAsia="宋体" w:cs="宋体"/>
                <w:sz w:val="21"/>
                <w:szCs w:val="21"/>
              </w:rPr>
              <w:t>分析、统计数据、指导方针和健康经济学的不同方面有关的免费文章。还提供了一个术语表。</w:t>
            </w:r>
          </w:p>
        </w:tc>
        <w:tc>
          <w:tcPr>
            <w:tcW w:w="2768" w:type="dxa"/>
            <w:shd w:val="clear" w:color="auto" w:fill="auto"/>
          </w:tcPr>
          <w:p>
            <w:pPr>
              <w:pStyle w:val="29"/>
              <w:rPr>
                <w:sz w:val="21"/>
                <w:szCs w:val="21"/>
              </w:rPr>
            </w:pPr>
            <w:r>
              <w:rPr>
                <w:sz w:val="21"/>
                <w:szCs w:val="21"/>
              </w:rPr>
              <w:fldChar w:fldCharType="begin"/>
            </w:r>
            <w:r>
              <w:rPr>
                <w:sz w:val="21"/>
                <w:szCs w:val="21"/>
              </w:rPr>
              <w:instrText xml:space="preserve"> HYPERLINK "http://www.bandolier.org.uk/" </w:instrText>
            </w:r>
            <w:r>
              <w:rPr>
                <w:sz w:val="21"/>
                <w:szCs w:val="21"/>
              </w:rPr>
              <w:fldChar w:fldCharType="separate"/>
            </w:r>
            <w:r>
              <w:rPr>
                <w:rStyle w:val="19"/>
                <w:rFonts w:hint="default" w:ascii="宋体" w:hAnsi="宋体" w:eastAsia="宋体" w:cs="宋体"/>
                <w:sz w:val="21"/>
                <w:szCs w:val="21"/>
              </w:rPr>
              <w:t>http://www.bandolier.org.uk/</w:t>
            </w:r>
            <w:r>
              <w:rPr>
                <w:rStyle w:val="19"/>
                <w:rFonts w:hint="default" w:ascii="宋体" w:hAnsi="宋体" w:eastAsia="宋体" w:cs="宋体"/>
                <w:sz w:val="21"/>
                <w:szCs w:val="21"/>
              </w:rPr>
              <w:fldChar w:fldCharType="end"/>
            </w:r>
          </w:p>
          <w:p>
            <w:pPr>
              <w:pStyle w:val="29"/>
              <w:rPr>
                <w:sz w:val="21"/>
                <w:szCs w:val="21"/>
              </w:rPr>
            </w:pPr>
            <w:r>
              <w:rPr>
                <w:sz w:val="21"/>
                <w:szCs w:val="21"/>
              </w:rPr>
              <w:fldChar w:fldCharType="begin"/>
            </w:r>
            <w:r>
              <w:rPr>
                <w:sz w:val="21"/>
                <w:szCs w:val="21"/>
              </w:rPr>
              <w:instrText xml:space="preserve"> HYPERLINK "http://www.bandolier.org.uk/learnzone.html" </w:instrText>
            </w:r>
            <w:r>
              <w:rPr>
                <w:sz w:val="21"/>
                <w:szCs w:val="21"/>
              </w:rPr>
              <w:fldChar w:fldCharType="separate"/>
            </w:r>
            <w:r>
              <w:rPr>
                <w:rStyle w:val="19"/>
                <w:rFonts w:hint="default" w:ascii="宋体" w:hAnsi="宋体" w:eastAsia="宋体" w:cs="宋体"/>
                <w:sz w:val="21"/>
                <w:szCs w:val="21"/>
              </w:rPr>
              <w:t>http://www.bandolier.org.uk/learnzone.html</w:t>
            </w:r>
            <w:r>
              <w:rPr>
                <w:rStyle w:val="19"/>
                <w:rFonts w:hint="default" w:ascii="宋体" w:hAnsi="宋体" w:eastAsia="宋体" w:cs="宋体"/>
                <w:sz w:val="21"/>
                <w:szCs w:val="21"/>
              </w:rPr>
              <w:fldChar w:fldCharType="end"/>
            </w:r>
          </w:p>
          <w:p>
            <w:pPr>
              <w:pStyle w:val="29"/>
              <w:rPr>
                <w:sz w:val="21"/>
                <w:szCs w:val="21"/>
              </w:rPr>
            </w:pPr>
            <w:r>
              <w:rPr>
                <w:sz w:val="21"/>
                <w:szCs w:val="21"/>
              </w:rPr>
              <w:fldChar w:fldCharType="begin"/>
            </w:r>
            <w:r>
              <w:rPr>
                <w:sz w:val="21"/>
                <w:szCs w:val="21"/>
              </w:rPr>
              <w:instrText xml:space="preserve"> HYPERLINK "http://www.bandolier.org.uk/glossary.html" </w:instrText>
            </w:r>
            <w:r>
              <w:rPr>
                <w:sz w:val="21"/>
                <w:szCs w:val="21"/>
              </w:rPr>
              <w:fldChar w:fldCharType="separate"/>
            </w:r>
            <w:r>
              <w:rPr>
                <w:rStyle w:val="19"/>
                <w:rFonts w:hint="default" w:ascii="宋体" w:hAnsi="宋体" w:eastAsia="宋体" w:cs="宋体"/>
                <w:sz w:val="21"/>
                <w:szCs w:val="21"/>
              </w:rPr>
              <w:t>http://www.bandolier.org.uk/glossary.html</w:t>
            </w:r>
            <w:r>
              <w:rPr>
                <w:rStyle w:val="19"/>
                <w:rFonts w:hint="default" w:ascii="宋体" w:hAnsi="宋体" w:eastAsia="宋体" w:cs="宋体"/>
                <w:sz w:val="21"/>
                <w:szCs w:val="21"/>
              </w:rPr>
              <w:fldChar w:fldCharType="end"/>
            </w:r>
          </w:p>
          <w:p>
            <w:pPr>
              <w:pStyle w:val="29"/>
              <w:rPr>
                <w:sz w:val="21"/>
                <w:szCs w:val="21"/>
              </w:rPr>
            </w:pPr>
          </w:p>
        </w:tc>
        <w:tc>
          <w:tcPr>
            <w:tcW w:w="1743" w:type="dxa"/>
            <w:shd w:val="clear" w:color="auto" w:fill="auto"/>
          </w:tcPr>
          <w:p>
            <w:pPr>
              <w:pStyle w:val="29"/>
              <w:rPr>
                <w:sz w:val="21"/>
                <w:szCs w:val="21"/>
              </w:rPr>
            </w:pPr>
            <w:r>
              <w:rPr>
                <w:rFonts w:hint="default" w:ascii="宋体" w:hAnsi="宋体" w:eastAsia="宋体" w:cs="宋体"/>
                <w:sz w:val="21"/>
                <w:szCs w:val="21"/>
              </w:rPr>
              <w:t>免费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pStyle w:val="29"/>
              <w:rPr>
                <w:sz w:val="21"/>
                <w:szCs w:val="21"/>
              </w:rPr>
            </w:pPr>
            <w:r>
              <w:rPr>
                <w:rFonts w:hint="default" w:ascii="宋体" w:hAnsi="宋体" w:eastAsia="宋体" w:cs="宋体"/>
                <w:sz w:val="21"/>
                <w:szCs w:val="21"/>
              </w:rPr>
              <w:t>HTA词汇表</w:t>
            </w:r>
          </w:p>
        </w:tc>
        <w:tc>
          <w:tcPr>
            <w:tcW w:w="2871" w:type="dxa"/>
            <w:shd w:val="clear" w:color="auto" w:fill="auto"/>
          </w:tcPr>
          <w:p>
            <w:pPr>
              <w:pStyle w:val="29"/>
              <w:rPr>
                <w:sz w:val="21"/>
                <w:szCs w:val="21"/>
              </w:rPr>
            </w:pPr>
            <w:r>
              <w:rPr>
                <w:rFonts w:hint="default" w:ascii="宋体" w:hAnsi="宋体" w:eastAsia="宋体" w:cs="宋体"/>
                <w:sz w:val="21"/>
                <w:szCs w:val="21"/>
              </w:rPr>
              <w:t>为从事卫生技术评估工作的成员提供的免费词汇表。</w:t>
            </w:r>
          </w:p>
        </w:tc>
        <w:tc>
          <w:tcPr>
            <w:tcW w:w="2768" w:type="dxa"/>
            <w:shd w:val="clear" w:color="auto" w:fill="auto"/>
          </w:tcPr>
          <w:p>
            <w:pPr>
              <w:pStyle w:val="29"/>
              <w:rPr>
                <w:sz w:val="21"/>
                <w:szCs w:val="21"/>
              </w:rPr>
            </w:pPr>
            <w:r>
              <w:rPr>
                <w:sz w:val="21"/>
                <w:szCs w:val="21"/>
              </w:rPr>
              <w:fldChar w:fldCharType="begin"/>
            </w:r>
            <w:r>
              <w:rPr>
                <w:sz w:val="21"/>
                <w:szCs w:val="21"/>
              </w:rPr>
              <w:instrText xml:space="preserve"> HYPERLINK "http://htaglossary.net/HomePage" </w:instrText>
            </w:r>
            <w:r>
              <w:rPr>
                <w:sz w:val="21"/>
                <w:szCs w:val="21"/>
              </w:rPr>
              <w:fldChar w:fldCharType="separate"/>
            </w:r>
            <w:r>
              <w:rPr>
                <w:rStyle w:val="19"/>
                <w:rFonts w:hint="default" w:ascii="宋体" w:hAnsi="宋体" w:eastAsia="宋体" w:cs="宋体"/>
                <w:sz w:val="21"/>
                <w:szCs w:val="21"/>
              </w:rPr>
              <w:t>http://htaglossary.net/HomePage</w:t>
            </w:r>
            <w:r>
              <w:rPr>
                <w:rStyle w:val="19"/>
                <w:rFonts w:hint="default" w:ascii="宋体" w:hAnsi="宋体" w:eastAsia="宋体" w:cs="宋体"/>
                <w:sz w:val="21"/>
                <w:szCs w:val="21"/>
              </w:rPr>
              <w:fldChar w:fldCharType="end"/>
            </w:r>
          </w:p>
          <w:p>
            <w:pPr>
              <w:pStyle w:val="29"/>
              <w:rPr>
                <w:sz w:val="21"/>
                <w:szCs w:val="21"/>
              </w:rPr>
            </w:pPr>
          </w:p>
        </w:tc>
        <w:tc>
          <w:tcPr>
            <w:tcW w:w="1743" w:type="dxa"/>
            <w:shd w:val="clear" w:color="auto" w:fill="auto"/>
          </w:tcPr>
          <w:p>
            <w:pPr>
              <w:pStyle w:val="29"/>
              <w:rPr>
                <w:sz w:val="21"/>
                <w:szCs w:val="21"/>
              </w:rPr>
            </w:pPr>
            <w:r>
              <w:rPr>
                <w:rFonts w:hint="default" w:ascii="宋体" w:hAnsi="宋体" w:eastAsia="宋体" w:cs="宋体"/>
                <w:sz w:val="21"/>
                <w:szCs w:val="21"/>
              </w:rPr>
              <w:t>免费</w:t>
            </w:r>
          </w:p>
        </w:tc>
      </w:tr>
      <w:bookmarkEnd w:id="2"/>
      <w:bookmarkEnd w:id="3"/>
    </w:tbl>
    <w:p>
      <w:pPr>
        <w:pStyle w:val="5"/>
      </w:pPr>
    </w:p>
    <w:p>
      <w:pPr>
        <w:keepNext w:val="0"/>
        <w:keepLines w:val="0"/>
        <w:pageBreakBefore w:val="0"/>
        <w:kinsoku/>
        <w:wordWrap/>
        <w:overflowPunct/>
        <w:topLinePunct w:val="0"/>
        <w:autoSpaceDE/>
        <w:autoSpaceDN/>
        <w:bidi w:val="0"/>
        <w:adjustRightInd/>
        <w:snapToGrid w:val="0"/>
        <w:spacing w:line="360" w:lineRule="auto"/>
        <w:textAlignment w:val="auto"/>
        <w:rPr>
          <w:rFonts w:hint="default"/>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MT">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ascii="ArialMT" w:hAnsi="ArialMT" w:eastAsia="ArialMT" w:cs="ArialMT"/>
        <w:b w:val="0"/>
        <w:bCs w:val="0"/>
        <w:i w:val="0"/>
        <w:iCs w:val="0"/>
        <w:color w:val="000000"/>
        <w:sz w:val="18"/>
        <w:szCs w:val="18"/>
      </w:rPr>
      <w:t>GIN 2021</w:t>
    </w:r>
    <w:r>
      <w:rPr>
        <w:rFonts w:ascii="宋体" w:hAnsi="宋体" w:eastAsia="宋体" w:cs="宋体"/>
        <w:sz w:val="24"/>
        <w:szCs w:val="24"/>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C246A1"/>
    <w:multiLevelType w:val="singleLevel"/>
    <w:tmpl w:val="8FC246A1"/>
    <w:lvl w:ilvl="0" w:tentative="0">
      <w:start w:val="1"/>
      <w:numFmt w:val="chineseCounting"/>
      <w:suff w:val="space"/>
      <w:lvlText w:val="第%1部分"/>
      <w:lvlJc w:val="left"/>
      <w:rPr>
        <w:rFonts w:hint="eastAsia"/>
      </w:rPr>
    </w:lvl>
  </w:abstractNum>
  <w:abstractNum w:abstractNumId="1">
    <w:nsid w:val="0B377270"/>
    <w:multiLevelType w:val="multilevel"/>
    <w:tmpl w:val="0B377270"/>
    <w:lvl w:ilvl="0" w:tentative="0">
      <w:start w:val="1"/>
      <w:numFmt w:val="bullet"/>
      <w:lvlText w:val=""/>
      <w:lvlJc w:val="left"/>
      <w:pPr>
        <w:tabs>
          <w:tab w:val="left" w:pos="284"/>
        </w:tabs>
        <w:ind w:left="284" w:hanging="284"/>
      </w:pPr>
      <w:rPr>
        <w:rFonts w:hint="default" w:ascii="Symbol" w:hAnsi="Symbol"/>
        <w:color w:val="auto"/>
      </w:rPr>
    </w:lvl>
    <w:lvl w:ilvl="1" w:tentative="0">
      <w:start w:val="1"/>
      <w:numFmt w:val="bullet"/>
      <w:pStyle w:val="24"/>
      <w:lvlText w:val=""/>
      <w:lvlJc w:val="left"/>
      <w:pPr>
        <w:tabs>
          <w:tab w:val="left" w:pos="567"/>
        </w:tabs>
        <w:ind w:left="567" w:hanging="283"/>
      </w:pPr>
      <w:rPr>
        <w:rFonts w:hint="default" w:ascii="Symbol" w:hAnsi="Symbol"/>
      </w:rPr>
    </w:lvl>
    <w:lvl w:ilvl="2" w:tentative="0">
      <w:start w:val="1"/>
      <w:numFmt w:val="bullet"/>
      <w:lvlText w:val=""/>
      <w:lvlJc w:val="left"/>
      <w:pPr>
        <w:tabs>
          <w:tab w:val="left" w:pos="1364"/>
        </w:tabs>
        <w:ind w:left="1364" w:hanging="360"/>
      </w:pPr>
      <w:rPr>
        <w:rFonts w:hint="default" w:ascii="Symbol" w:hAnsi="Symbol"/>
        <w:color w:val="auto"/>
      </w:rPr>
    </w:lvl>
    <w:lvl w:ilvl="3" w:tentative="0">
      <w:start w:val="1"/>
      <w:numFmt w:val="decimal"/>
      <w:lvlText w:val="(%4)"/>
      <w:lvlJc w:val="left"/>
      <w:pPr>
        <w:tabs>
          <w:tab w:val="left" w:pos="1724"/>
        </w:tabs>
        <w:ind w:left="1724" w:hanging="360"/>
      </w:pPr>
      <w:rPr>
        <w:rFonts w:hint="default"/>
      </w:rPr>
    </w:lvl>
    <w:lvl w:ilvl="4" w:tentative="0">
      <w:start w:val="1"/>
      <w:numFmt w:val="lowerLetter"/>
      <w:lvlText w:val="(%5)"/>
      <w:lvlJc w:val="left"/>
      <w:pPr>
        <w:tabs>
          <w:tab w:val="left" w:pos="2084"/>
        </w:tabs>
        <w:ind w:left="2084" w:hanging="360"/>
      </w:pPr>
      <w:rPr>
        <w:rFonts w:hint="default"/>
      </w:rPr>
    </w:lvl>
    <w:lvl w:ilvl="5" w:tentative="0">
      <w:start w:val="1"/>
      <w:numFmt w:val="lowerRoman"/>
      <w:lvlText w:val="(%6)"/>
      <w:lvlJc w:val="left"/>
      <w:pPr>
        <w:tabs>
          <w:tab w:val="left" w:pos="2444"/>
        </w:tabs>
        <w:ind w:left="2444" w:hanging="360"/>
      </w:pPr>
      <w:rPr>
        <w:rFonts w:hint="default"/>
      </w:rPr>
    </w:lvl>
    <w:lvl w:ilvl="6" w:tentative="0">
      <w:start w:val="1"/>
      <w:numFmt w:val="decimal"/>
      <w:lvlText w:val="%7."/>
      <w:lvlJc w:val="left"/>
      <w:pPr>
        <w:tabs>
          <w:tab w:val="left" w:pos="2804"/>
        </w:tabs>
        <w:ind w:left="2804" w:hanging="360"/>
      </w:pPr>
      <w:rPr>
        <w:rFonts w:hint="default"/>
      </w:rPr>
    </w:lvl>
    <w:lvl w:ilvl="7" w:tentative="0">
      <w:start w:val="1"/>
      <w:numFmt w:val="lowerLetter"/>
      <w:lvlText w:val="%8."/>
      <w:lvlJc w:val="left"/>
      <w:pPr>
        <w:tabs>
          <w:tab w:val="left" w:pos="3164"/>
        </w:tabs>
        <w:ind w:left="3164" w:hanging="360"/>
      </w:pPr>
      <w:rPr>
        <w:rFonts w:hint="default"/>
      </w:rPr>
    </w:lvl>
    <w:lvl w:ilvl="8" w:tentative="0">
      <w:start w:val="1"/>
      <w:numFmt w:val="lowerRoman"/>
      <w:lvlText w:val="%9."/>
      <w:lvlJc w:val="left"/>
      <w:pPr>
        <w:tabs>
          <w:tab w:val="left" w:pos="3524"/>
        </w:tabs>
        <w:ind w:left="3524" w:hanging="360"/>
      </w:pPr>
      <w:rPr>
        <w:rFonts w:hint="default"/>
      </w:rPr>
    </w:lvl>
  </w:abstractNum>
  <w:abstractNum w:abstractNumId="2">
    <w:nsid w:val="15017405"/>
    <w:multiLevelType w:val="multilevel"/>
    <w:tmpl w:val="15017405"/>
    <w:lvl w:ilvl="0" w:tentative="0">
      <w:start w:val="1"/>
      <w:numFmt w:val="bullet"/>
      <w:pStyle w:val="23"/>
      <w:lvlText w:val=""/>
      <w:lvlJc w:val="left"/>
      <w:pPr>
        <w:tabs>
          <w:tab w:val="left" w:pos="284"/>
        </w:tabs>
        <w:ind w:left="284" w:hanging="284"/>
      </w:pPr>
      <w:rPr>
        <w:rFonts w:hint="default" w:ascii="Symbol" w:hAnsi="Symbol"/>
        <w:color w:val="auto"/>
      </w:rPr>
    </w:lvl>
    <w:lvl w:ilvl="1" w:tentative="0">
      <w:start w:val="1"/>
      <w:numFmt w:val="bullet"/>
      <w:lvlText w:val=""/>
      <w:lvlJc w:val="left"/>
      <w:pPr>
        <w:tabs>
          <w:tab w:val="left" w:pos="567"/>
        </w:tabs>
        <w:ind w:left="567" w:hanging="283"/>
      </w:pPr>
      <w:rPr>
        <w:rFonts w:hint="default" w:ascii="Symbol" w:hAnsi="Symbol"/>
      </w:rPr>
    </w:lvl>
    <w:lvl w:ilvl="2" w:tentative="0">
      <w:start w:val="1"/>
      <w:numFmt w:val="bullet"/>
      <w:lvlText w:val=""/>
      <w:lvlJc w:val="left"/>
      <w:pPr>
        <w:tabs>
          <w:tab w:val="left" w:pos="851"/>
        </w:tabs>
        <w:ind w:left="851" w:hanging="284"/>
      </w:pPr>
      <w:rPr>
        <w:rFonts w:hint="default" w:ascii="Symbol" w:hAnsi="Symbol"/>
        <w:color w:val="auto"/>
      </w:rPr>
    </w:lvl>
    <w:lvl w:ilvl="3" w:tentative="0">
      <w:start w:val="1"/>
      <w:numFmt w:val="decimal"/>
      <w:lvlText w:val="(%4)"/>
      <w:lvlJc w:val="left"/>
      <w:pPr>
        <w:tabs>
          <w:tab w:val="left" w:pos="1724"/>
        </w:tabs>
        <w:ind w:left="1724" w:hanging="360"/>
      </w:pPr>
      <w:rPr>
        <w:rFonts w:hint="default"/>
      </w:rPr>
    </w:lvl>
    <w:lvl w:ilvl="4" w:tentative="0">
      <w:start w:val="1"/>
      <w:numFmt w:val="lowerLetter"/>
      <w:lvlText w:val="(%5)"/>
      <w:lvlJc w:val="left"/>
      <w:pPr>
        <w:tabs>
          <w:tab w:val="left" w:pos="2084"/>
        </w:tabs>
        <w:ind w:left="2084" w:hanging="360"/>
      </w:pPr>
      <w:rPr>
        <w:rFonts w:hint="default"/>
      </w:rPr>
    </w:lvl>
    <w:lvl w:ilvl="5" w:tentative="0">
      <w:start w:val="1"/>
      <w:numFmt w:val="lowerRoman"/>
      <w:lvlText w:val="(%6)"/>
      <w:lvlJc w:val="left"/>
      <w:pPr>
        <w:tabs>
          <w:tab w:val="left" w:pos="2444"/>
        </w:tabs>
        <w:ind w:left="2444" w:hanging="360"/>
      </w:pPr>
      <w:rPr>
        <w:rFonts w:hint="default"/>
      </w:rPr>
    </w:lvl>
    <w:lvl w:ilvl="6" w:tentative="0">
      <w:start w:val="1"/>
      <w:numFmt w:val="decimal"/>
      <w:lvlText w:val="%7."/>
      <w:lvlJc w:val="left"/>
      <w:pPr>
        <w:tabs>
          <w:tab w:val="left" w:pos="2804"/>
        </w:tabs>
        <w:ind w:left="2804" w:hanging="360"/>
      </w:pPr>
      <w:rPr>
        <w:rFonts w:hint="default"/>
      </w:rPr>
    </w:lvl>
    <w:lvl w:ilvl="7" w:tentative="0">
      <w:start w:val="1"/>
      <w:numFmt w:val="lowerLetter"/>
      <w:lvlText w:val="%8."/>
      <w:lvlJc w:val="left"/>
      <w:pPr>
        <w:tabs>
          <w:tab w:val="left" w:pos="3164"/>
        </w:tabs>
        <w:ind w:left="3164" w:hanging="360"/>
      </w:pPr>
      <w:rPr>
        <w:rFonts w:hint="default"/>
      </w:rPr>
    </w:lvl>
    <w:lvl w:ilvl="8" w:tentative="0">
      <w:start w:val="1"/>
      <w:numFmt w:val="lowerRoman"/>
      <w:lvlText w:val="%9."/>
      <w:lvlJc w:val="left"/>
      <w:pPr>
        <w:tabs>
          <w:tab w:val="left" w:pos="3524"/>
        </w:tabs>
        <w:ind w:left="3524" w:hanging="360"/>
      </w:pPr>
      <w:rPr>
        <w:rFonts w:hint="default"/>
      </w:rPr>
    </w:lvl>
  </w:abstractNum>
  <w:abstractNum w:abstractNumId="3">
    <w:nsid w:val="1B8D3711"/>
    <w:multiLevelType w:val="multilevel"/>
    <w:tmpl w:val="1B8D3711"/>
    <w:lvl w:ilvl="0" w:tentative="0">
      <w:start w:val="4"/>
      <w:numFmt w:val="bullet"/>
      <w:pStyle w:val="25"/>
      <w:lvlText w:val=""/>
      <w:lvlJc w:val="left"/>
      <w:pPr>
        <w:tabs>
          <w:tab w:val="left" w:pos="284"/>
        </w:tabs>
        <w:ind w:left="284" w:hanging="284"/>
      </w:pPr>
      <w:rPr>
        <w:rFonts w:hint="default" w:ascii="Symbol" w:hAnsi="Symbol"/>
        <w:sz w:val="24"/>
        <w:szCs w:val="24"/>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22E853F9"/>
    <w:multiLevelType w:val="multilevel"/>
    <w:tmpl w:val="22E853F9"/>
    <w:lvl w:ilvl="0" w:tentative="0">
      <w:start w:val="1"/>
      <w:numFmt w:val="bullet"/>
      <w:pStyle w:val="26"/>
      <w:lvlText w:val="­"/>
      <w:lvlJc w:val="left"/>
      <w:pPr>
        <w:ind w:left="1588" w:hanging="454"/>
      </w:pPr>
      <w:rPr>
        <w:rFonts w:hint="default" w:ascii="Courier New" w:hAnsi="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BB62C2F"/>
    <w:multiLevelType w:val="multilevel"/>
    <w:tmpl w:val="2BB62C2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4FEA0B45"/>
    <w:multiLevelType w:val="multilevel"/>
    <w:tmpl w:val="4FEA0B4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5A536612"/>
    <w:multiLevelType w:val="multilevel"/>
    <w:tmpl w:val="5A53661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5C6E230B"/>
    <w:multiLevelType w:val="multilevel"/>
    <w:tmpl w:val="5C6E230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63CA0018"/>
    <w:multiLevelType w:val="multilevel"/>
    <w:tmpl w:val="63CA001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696F2189"/>
    <w:multiLevelType w:val="multilevel"/>
    <w:tmpl w:val="696F2189"/>
    <w:lvl w:ilvl="0" w:tentative="0">
      <w:start w:val="1"/>
      <w:numFmt w:val="bullet"/>
      <w:pStyle w:val="27"/>
      <w:lvlText w:val=""/>
      <w:lvlJc w:val="left"/>
      <w:pPr>
        <w:ind w:left="1134" w:hanging="454"/>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700468B8"/>
    <w:multiLevelType w:val="singleLevel"/>
    <w:tmpl w:val="700468B8"/>
    <w:lvl w:ilvl="0" w:tentative="0">
      <w:start w:val="1"/>
      <w:numFmt w:val="bullet"/>
      <w:lvlText w:val=""/>
      <w:lvlJc w:val="left"/>
      <w:pPr>
        <w:ind w:left="93" w:leftChars="0" w:hanging="93" w:firstLineChars="0"/>
      </w:pPr>
      <w:rPr>
        <w:rFonts w:hint="default" w:ascii="Wingdings" w:hAnsi="Wingdings"/>
        <w:sz w:val="10"/>
      </w:rPr>
    </w:lvl>
  </w:abstractNum>
  <w:abstractNum w:abstractNumId="12">
    <w:nsid w:val="78AA5B06"/>
    <w:multiLevelType w:val="multilevel"/>
    <w:tmpl w:val="78AA5B06"/>
    <w:lvl w:ilvl="0" w:tentative="0">
      <w:start w:val="1"/>
      <w:numFmt w:val="bullet"/>
      <w:lvlText w:val=""/>
      <w:lvlJc w:val="left"/>
      <w:pPr>
        <w:ind w:left="360" w:hanging="360"/>
      </w:pPr>
      <w:rPr>
        <w:rFonts w:hint="default" w:ascii="Symbol" w:hAnsi="Symbol"/>
        <w:sz w:val="24"/>
        <w:szCs w:val="24"/>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2"/>
  </w:num>
  <w:num w:numId="2">
    <w:abstractNumId w:val="1"/>
  </w:num>
  <w:num w:numId="3">
    <w:abstractNumId w:val="3"/>
  </w:num>
  <w:num w:numId="4">
    <w:abstractNumId w:val="4"/>
  </w:num>
  <w:num w:numId="5">
    <w:abstractNumId w:val="10"/>
  </w:num>
  <w:num w:numId="6">
    <w:abstractNumId w:val="0"/>
  </w:num>
  <w:num w:numId="7">
    <w:abstractNumId w:val="11"/>
  </w:num>
  <w:num w:numId="8">
    <w:abstractNumId w:val="9"/>
  </w:num>
  <w:num w:numId="9">
    <w:abstractNumId w:val="7"/>
  </w:num>
  <w:num w:numId="10">
    <w:abstractNumId w:val="8"/>
  </w:num>
  <w:num w:numId="11">
    <w:abstractNumId w:val="5"/>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75EDA"/>
    <w:rsid w:val="0512260A"/>
    <w:rsid w:val="0F172990"/>
    <w:rsid w:val="0F661BDD"/>
    <w:rsid w:val="11FF3AAF"/>
    <w:rsid w:val="15CA7915"/>
    <w:rsid w:val="1FAB03C3"/>
    <w:rsid w:val="20592B91"/>
    <w:rsid w:val="207C13DA"/>
    <w:rsid w:val="215324C5"/>
    <w:rsid w:val="24C44263"/>
    <w:rsid w:val="2C4C7867"/>
    <w:rsid w:val="2D4D1B35"/>
    <w:rsid w:val="32622B4D"/>
    <w:rsid w:val="393378EB"/>
    <w:rsid w:val="3EE921A5"/>
    <w:rsid w:val="414136C9"/>
    <w:rsid w:val="418E5F61"/>
    <w:rsid w:val="4D115106"/>
    <w:rsid w:val="547A7936"/>
    <w:rsid w:val="5A892560"/>
    <w:rsid w:val="64C05056"/>
    <w:rsid w:val="689E27E8"/>
    <w:rsid w:val="6FCF1A66"/>
    <w:rsid w:val="71184D23"/>
    <w:rsid w:val="716804F5"/>
    <w:rsid w:val="7343383D"/>
    <w:rsid w:val="7AC35A49"/>
    <w:rsid w:val="7C4C4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3"/>
    <w:qFormat/>
    <w:uiPriority w:val="0"/>
    <w:pPr>
      <w:keepNext/>
      <w:spacing w:before="240" w:after="120" w:line="360" w:lineRule="auto"/>
      <w:outlineLvl w:val="0"/>
    </w:pPr>
    <w:rPr>
      <w:rFonts w:ascii="Arial" w:hAnsi="Arial" w:cs="Arial"/>
      <w:b/>
      <w:bCs/>
      <w:kern w:val="32"/>
      <w:sz w:val="32"/>
      <w:szCs w:val="32"/>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3">
    <w:name w:val="Paragraph no numbers"/>
    <w:basedOn w:val="1"/>
    <w:qFormat/>
    <w:uiPriority w:val="99"/>
    <w:pPr>
      <w:spacing w:after="240" w:line="276" w:lineRule="auto"/>
    </w:pPr>
    <w:rPr>
      <w:rFonts w:ascii="Arial" w:hAnsi="Arial"/>
    </w:rPr>
  </w:style>
  <w:style w:type="paragraph" w:styleId="4">
    <w:name w:val="caption"/>
    <w:basedOn w:val="5"/>
    <w:next w:val="5"/>
    <w:unhideWhenUsed/>
    <w:qFormat/>
    <w:uiPriority w:val="0"/>
    <w:pPr>
      <w:keepNext/>
      <w:spacing w:after="200"/>
    </w:pPr>
    <w:rPr>
      <w:b/>
      <w:bCs/>
      <w:iCs/>
      <w:szCs w:val="18"/>
    </w:rPr>
  </w:style>
  <w:style w:type="paragraph" w:customStyle="1" w:styleId="5">
    <w:name w:val="NICE normal"/>
    <w:qFormat/>
    <w:uiPriority w:val="0"/>
    <w:pPr>
      <w:spacing w:after="240" w:line="360" w:lineRule="auto"/>
    </w:pPr>
    <w:rPr>
      <w:rFonts w:ascii="Arial" w:hAnsi="Arial" w:eastAsia="Times New Roman" w:cs="Times New Roman"/>
      <w:sz w:val="24"/>
      <w:szCs w:val="24"/>
      <w:lang w:val="en-GB" w:eastAsia="en-US" w:bidi="ar-SA"/>
    </w:rPr>
  </w:style>
  <w:style w:type="paragraph" w:styleId="6">
    <w:name w:val="annotation text"/>
    <w:basedOn w:val="1"/>
    <w:unhideWhenUsed/>
    <w:qFormat/>
    <w:uiPriority w:val="99"/>
    <w:pPr>
      <w:jc w:val="left"/>
    </w:pPr>
  </w:style>
  <w:style w:type="paragraph" w:styleId="7">
    <w:name w:val="endnote text"/>
    <w:basedOn w:val="1"/>
    <w:qFormat/>
    <w:uiPriority w:val="0"/>
    <w:pPr>
      <w:snapToGrid w:val="0"/>
      <w:jc w:val="left"/>
    </w:pPr>
  </w:style>
  <w:style w:type="paragraph" w:styleId="8">
    <w:name w:val="footer"/>
    <w:basedOn w:val="9"/>
    <w:qFormat/>
    <w:uiPriority w:val="0"/>
    <w:pPr>
      <w:tabs>
        <w:tab w:val="center" w:pos="4153"/>
        <w:tab w:val="right" w:pos="8306"/>
      </w:tabs>
      <w:snapToGrid w:val="0"/>
      <w:jc w:val="left"/>
    </w:pPr>
    <w:rPr>
      <w:sz w:val="18"/>
    </w:rPr>
  </w:style>
  <w:style w:type="paragraph" w:customStyle="1" w:styleId="9">
    <w:name w:val="NICE normal single spacing"/>
    <w:basedOn w:val="5"/>
    <w:qFormat/>
    <w:uiPriority w:val="0"/>
    <w:pPr>
      <w:spacing w:line="240" w:lineRule="auto"/>
    </w:pPr>
  </w:style>
  <w:style w:type="paragraph" w:styleId="10">
    <w:name w:val="header"/>
    <w:basedOn w:val="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rPr>
      <w:sz w:val="24"/>
    </w:rPr>
  </w:style>
  <w:style w:type="paragraph" w:styleId="12">
    <w:name w:val="Title"/>
    <w:basedOn w:val="1"/>
    <w:next w:val="2"/>
    <w:qFormat/>
    <w:uiPriority w:val="0"/>
    <w:pPr>
      <w:spacing w:before="120" w:after="120"/>
      <w:jc w:val="center"/>
      <w:outlineLvl w:val="0"/>
    </w:pPr>
    <w:rPr>
      <w:rFonts w:ascii="Arial" w:hAnsi="Arial"/>
      <w:b/>
      <w:bCs/>
      <w:kern w:val="28"/>
      <w:sz w:val="32"/>
      <w:szCs w:val="3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endnote reference"/>
    <w:basedOn w:val="15"/>
    <w:qFormat/>
    <w:uiPriority w:val="0"/>
    <w:rPr>
      <w:vertAlign w:val="superscript"/>
    </w:rPr>
  </w:style>
  <w:style w:type="character" w:styleId="17">
    <w:name w:val="page number"/>
    <w:qFormat/>
    <w:uiPriority w:val="0"/>
    <w:rPr>
      <w:rFonts w:ascii="Arial" w:hAnsi="Arial"/>
      <w:sz w:val="24"/>
    </w:rPr>
  </w:style>
  <w:style w:type="character" w:styleId="18">
    <w:name w:val="Emphasis"/>
    <w:basedOn w:val="15"/>
    <w:qFormat/>
    <w:uiPriority w:val="20"/>
    <w:rPr>
      <w:i/>
      <w:iCs/>
    </w:rPr>
  </w:style>
  <w:style w:type="character" w:styleId="19">
    <w:name w:val="Hyperlink"/>
    <w:qFormat/>
    <w:uiPriority w:val="0"/>
    <w:rPr>
      <w:color w:val="0000FF"/>
      <w:u w:val="single"/>
    </w:rPr>
  </w:style>
  <w:style w:type="character" w:styleId="20">
    <w:name w:val="annotation reference"/>
    <w:basedOn w:val="15"/>
    <w:semiHidden/>
    <w:unhideWhenUsed/>
    <w:qFormat/>
    <w:uiPriority w:val="99"/>
    <w:rPr>
      <w:sz w:val="21"/>
      <w:szCs w:val="21"/>
    </w:rPr>
  </w:style>
  <w:style w:type="paragraph" w:styleId="21">
    <w:name w:val="List Paragraph"/>
    <w:basedOn w:val="1"/>
    <w:qFormat/>
    <w:uiPriority w:val="34"/>
    <w:pPr>
      <w:ind w:firstLine="420" w:firstLineChars="200"/>
    </w:pPr>
  </w:style>
  <w:style w:type="character" w:customStyle="1" w:styleId="22">
    <w:name w:val="fontstyle01"/>
    <w:basedOn w:val="15"/>
    <w:qFormat/>
    <w:uiPriority w:val="0"/>
    <w:rPr>
      <w:rFonts w:ascii="ArialMT" w:hAnsi="ArialMT" w:eastAsia="ArialMT" w:cs="ArialMT"/>
      <w:color w:val="000000"/>
      <w:sz w:val="24"/>
      <w:szCs w:val="24"/>
    </w:rPr>
  </w:style>
  <w:style w:type="paragraph" w:customStyle="1" w:styleId="23">
    <w:name w:val="Bullet left 1"/>
    <w:basedOn w:val="5"/>
    <w:qFormat/>
    <w:uiPriority w:val="0"/>
    <w:pPr>
      <w:numPr>
        <w:ilvl w:val="0"/>
        <w:numId w:val="1"/>
      </w:numPr>
      <w:spacing w:after="0"/>
    </w:pPr>
  </w:style>
  <w:style w:type="paragraph" w:customStyle="1" w:styleId="24">
    <w:name w:val="Bullet left 2"/>
    <w:basedOn w:val="5"/>
    <w:qFormat/>
    <w:uiPriority w:val="0"/>
    <w:pPr>
      <w:numPr>
        <w:ilvl w:val="1"/>
        <w:numId w:val="2"/>
      </w:numPr>
      <w:spacing w:after="0"/>
      <w:ind w:left="568" w:hanging="284"/>
    </w:pPr>
  </w:style>
  <w:style w:type="paragraph" w:customStyle="1" w:styleId="25">
    <w:name w:val="Bullet left 1 last"/>
    <w:basedOn w:val="5"/>
    <w:qFormat/>
    <w:uiPriority w:val="0"/>
    <w:pPr>
      <w:numPr>
        <w:ilvl w:val="0"/>
        <w:numId w:val="3"/>
      </w:numPr>
    </w:pPr>
    <w:rPr>
      <w:rFonts w:cs="Arial"/>
    </w:rPr>
  </w:style>
  <w:style w:type="paragraph" w:customStyle="1" w:styleId="26">
    <w:name w:val="Sub bullets"/>
    <w:basedOn w:val="1"/>
    <w:qFormat/>
    <w:uiPriority w:val="6"/>
    <w:pPr>
      <w:numPr>
        <w:ilvl w:val="0"/>
        <w:numId w:val="4"/>
      </w:numPr>
      <w:spacing w:after="120" w:line="276" w:lineRule="auto"/>
      <w:ind w:left="1418" w:hanging="284"/>
    </w:pPr>
    <w:rPr>
      <w:rFonts w:ascii="Arial" w:hAnsi="Arial"/>
    </w:rPr>
  </w:style>
  <w:style w:type="paragraph" w:customStyle="1" w:styleId="27">
    <w:name w:val="Bullets"/>
    <w:basedOn w:val="1"/>
    <w:qFormat/>
    <w:uiPriority w:val="5"/>
    <w:pPr>
      <w:numPr>
        <w:ilvl w:val="0"/>
        <w:numId w:val="5"/>
      </w:numPr>
      <w:spacing w:after="120" w:line="276" w:lineRule="auto"/>
    </w:pPr>
    <w:rPr>
      <w:rFonts w:ascii="Arial" w:hAnsi="Arial"/>
    </w:rPr>
  </w:style>
  <w:style w:type="paragraph" w:customStyle="1" w:styleId="28">
    <w:name w:val="Table heading"/>
    <w:basedOn w:val="29"/>
    <w:qFormat/>
    <w:uiPriority w:val="0"/>
    <w:rPr>
      <w:b/>
    </w:rPr>
  </w:style>
  <w:style w:type="paragraph" w:customStyle="1" w:styleId="29">
    <w:name w:val="Table text"/>
    <w:basedOn w:val="9"/>
    <w:qFormat/>
    <w:uiPriority w:val="0"/>
    <w:pPr>
      <w:keepNext/>
      <w:spacing w:after="60"/>
    </w:pPr>
    <w:rPr>
      <w:sz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2021-05-25T05:17:00Z</dcterms:created>
  <dc:creator>yuej</dc:creator>
  <cp:lastModifiedBy>new life</cp:lastModifiedBy>
  <dcterms:modified xsi:type="dcterms:W3CDTF">2021-07-01T09:00:05Z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2052-11.1.0.10379</vt:lpwstr>
  </property>
  <property fmtid="{D5CDD505-2E9C-101B-9397-08002B2CF9AE}" pid="3" name="ICV">
    <vt:lpwstr>A63434BBCDC2419F98FB95356BC3804F</vt:lpwstr>
  </property>
</Properties>
</file>